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80"/>
      </w:pPr>
    </w:p>
    <w:p>
      <w:pPr>
        <w:spacing w:after="600"/>
        <w:jc w:val="center"/>
      </w:pPr>
      <w:r>
        <w:rPr>
          <w:rFonts w:ascii="Aptos" w:hAnsi="Aptos"/>
          <w:b/>
          <w:i w:val="0"/>
          <w:color w:val="3B9AA0"/>
          <w:sz w:val="26"/>
        </w:rPr>
        <w:t>SEATTLE–KING COUNTY</w:t>
        <w:br/>
        <w:t>DENTAL SOCIETY</w:t>
      </w:r>
    </w:p>
    <w:p>
      <w:pPr>
        <w:pStyle w:val="Title"/>
        <w:jc w:val="center"/>
      </w:pPr>
      <w:r>
        <w:t>Executive Council</w:t>
        <w:br/>
        <w:t>Training Resources</w:t>
      </w:r>
    </w:p>
    <w:p>
      <w:pPr>
        <w:pStyle w:val="Subtitle"/>
        <w:jc w:val="center"/>
      </w:pPr>
      <w:r>
        <w:t>Step into your role with confidence, knowledge, and support.</w:t>
      </w:r>
    </w:p>
    <w:p>
      <w:pPr>
        <w:spacing w:after="400"/>
      </w:pPr>
    </w:p>
    <w:tbl>
      <w:tblPr>
        <w:tblW w:type="dxa" w:w="9360"/>
        <w:jc w:val="left"/>
        <w:tblLayout w:type="fixed"/>
        <w:tblLook w:firstColumn="1" w:firstRow="1" w:lastColumn="0" w:lastRow="0" w:noHBand="0" w:noVBand="1" w:val="04A0"/>
        <w:tblInd w:w="120" w:type="dxa"/>
      </w:tblPr>
      <w:tblGrid>
        <w:gridCol w:w="9360"/>
      </w:tblGrid>
      <w:tr>
        <w:trPr/>
        <w:tc>
          <w:tcPr>
            <w:tcW w:type="dxa" w:w="9360"/>
            <w:tcMar>
              <w:top w:w="100" w:type="dxa"/>
              <w:start w:w="120" w:type="dxa"/>
              <w:bottom w:w="100" w:type="dxa"/>
              <w:end w:w="120" w:type="dxa"/>
            </w:tcMar>
            <w:vAlign w:val="center"/>
            <w:shd w:fill="E8F1F6"/>
          </w:tcPr>
          <w:p>
            <w:pPr>
              <w:keepLines/>
              <w:spacing w:after="0"/>
            </w:pPr>
            <w:r>
              <w:rPr>
                <w:rFonts w:ascii="Aptos" w:hAnsi="Aptos"/>
                <w:b/>
                <w:i w:val="0"/>
                <w:color w:val="2878A8"/>
                <w:sz w:val="22"/>
              </w:rPr>
              <w:t xml:space="preserve">PURPOSE  </w:t>
            </w:r>
            <w:r>
              <w:rPr>
                <w:rFonts w:ascii="Aptos" w:hAnsi="Aptos"/>
                <w:b w:val="0"/>
                <w:i w:val="0"/>
                <w:color w:val="24313A"/>
                <w:sz w:val="22"/>
              </w:rPr>
              <w:t>A practical, SKCDS-specific learning guide for responsible governance, effective decision-making, and a strong board–staff partnership.</w:t>
            </w:r>
          </w:p>
        </w:tc>
      </w:tr>
    </w:tbl>
    <w:p>
      <w:pPr>
        <w:spacing w:after="40"/>
      </w:pPr>
    </w:p>
    <w:p>
      <w:pPr>
        <w:jc w:val="center"/>
      </w:pPr>
      <w:r>
        <w:rPr>
          <w:rFonts w:ascii="Aptos" w:hAnsi="Aptos"/>
          <w:b/>
          <w:i w:val="0"/>
          <w:color w:val="123B5D"/>
          <w:sz w:val="22"/>
        </w:rPr>
        <w:t>2026–27 Leadership Orientation</w:t>
      </w:r>
    </w:p>
    <w:p>
      <w:pPr>
        <w:jc w:val="center"/>
      </w:pPr>
      <w:r>
        <w:rPr>
          <w:rFonts w:ascii="Aptos" w:hAnsi="Aptos"/>
          <w:b w:val="0"/>
          <w:i w:val="0"/>
          <w:color w:val="596873"/>
          <w:sz w:val="19"/>
        </w:rPr>
        <w:t>Prepared July 2026</w:t>
      </w:r>
    </w:p>
    <w:p>
      <w:r>
        <w:br w:type="page"/>
      </w:r>
    </w:p>
    <w:p>
      <w:pPr>
        <w:pStyle w:val="Heading1"/>
      </w:pPr>
      <w:r>
        <w:t>How to Use This Guide</w:t>
      </w:r>
    </w:p>
    <w:p>
      <w:pPr>
        <w:spacing w:after="120" w:line="283" w:lineRule="auto"/>
      </w:pPr>
      <w:r>
        <w:rPr>
          <w:rFonts w:ascii="Aptos" w:hAnsi="Aptos"/>
          <w:b w:val="0"/>
          <w:i w:val="0"/>
          <w:color w:val="24313A"/>
          <w:sz w:val="22"/>
        </w:rPr>
        <w:t>This resource adapts the Washington Governor’s online appointee-training approach for SKCDS. It is organized as short learning modules that can be completed during orientation, revisited before key decisions, or used for annual refresher training.</w:t>
      </w:r>
    </w:p>
    <w:tbl>
      <w:tblPr>
        <w:tblW w:type="dxa" w:w="9360"/>
        <w:jc w:val="left"/>
        <w:tblLayout w:type="fixed"/>
        <w:tblLook w:firstColumn="1" w:firstRow="1" w:lastColumn="0" w:lastRow="0" w:noHBand="0" w:noVBand="1" w:val="04A0"/>
        <w:tblInd w:w="120" w:type="dxa"/>
      </w:tblPr>
      <w:tblGrid>
        <w:gridCol w:w="9360"/>
      </w:tblGrid>
      <w:tr>
        <w:trPr/>
        <w:tc>
          <w:tcPr>
            <w:tcW w:type="dxa" w:w="9360"/>
            <w:tcMar>
              <w:top w:w="100" w:type="dxa"/>
              <w:start w:w="120" w:type="dxa"/>
              <w:bottom w:w="100" w:type="dxa"/>
              <w:end w:w="120" w:type="dxa"/>
            </w:tcMar>
            <w:vAlign w:val="center"/>
            <w:shd w:fill="FFF5DB"/>
          </w:tcPr>
          <w:p>
            <w:pPr>
              <w:keepLines/>
              <w:spacing w:after="0"/>
            </w:pPr>
            <w:r>
              <w:rPr>
                <w:rFonts w:ascii="Aptos" w:hAnsi="Aptos"/>
                <w:b/>
                <w:i w:val="0"/>
                <w:color w:val="7A5A00"/>
                <w:sz w:val="22"/>
              </w:rPr>
              <w:t xml:space="preserve">IMPORTANT DISTINCTION  </w:t>
            </w:r>
            <w:r>
              <w:rPr>
                <w:rFonts w:ascii="Aptos" w:hAnsi="Aptos"/>
                <w:b w:val="0"/>
                <w:i w:val="0"/>
                <w:color w:val="24313A"/>
                <w:sz w:val="22"/>
              </w:rPr>
              <w:t>The Governor’s resources are written for public boards and commissions. SKCDS is a private nonprofit membership corporation. Public-agency requirements—such as the Open Public Meetings Act, Public Records Act, and state-employee ethics rules—do not automatically govern SKCDS. SKCDS should follow its bylaws, articles, adopted policies, contracts, and applicable nonprofit law, and obtain legal advice when needed.</w:t>
            </w:r>
          </w:p>
        </w:tc>
      </w:tr>
    </w:tbl>
    <w:p>
      <w:pPr>
        <w:spacing w:after="40"/>
      </w:pPr>
    </w:p>
    <w:p>
      <w:pPr>
        <w:pStyle w:val="Heading2"/>
      </w:pPr>
      <w:r>
        <w:t>Recommended learning path</w:t>
      </w:r>
    </w:p>
    <w:tbl>
      <w:tblPr>
        <w:tblStyle w:val="TableGrid"/>
        <w:tblW w:type="dxa" w:w="9360"/>
        <w:jc w:val="left"/>
        <w:tblLayout w:type="fixed"/>
        <w:tblLook w:firstColumn="1" w:firstRow="1" w:lastColumn="0" w:lastRow="0" w:noHBand="0" w:noVBand="1" w:val="04A0"/>
        <w:tblInd w:w="120" w:type="dxa"/>
      </w:tblPr>
      <w:tblGrid>
        <w:gridCol w:w="2200"/>
        <w:gridCol w:w="2200"/>
        <w:gridCol w:w="4960"/>
      </w:tblGrid>
      <w:tr>
        <w:trPr>
          <w:tblHeader w:val="true"/>
        </w:trPr>
        <w:tc>
          <w:tcPr>
            <w:tcW w:type="dxa" w:w="2200"/>
            <w:tcMar>
              <w:top w:w="100" w:type="dxa"/>
              <w:start w:w="120" w:type="dxa"/>
              <w:bottom w:w="100" w:type="dxa"/>
              <w:end w:w="120" w:type="dxa"/>
            </w:tcMar>
            <w:vAlign w:val="center"/>
            <w:shd w:fill="123B5D"/>
          </w:tcPr>
          <w:p>
            <w:pPr>
              <w:keepLines/>
              <w:spacing w:after="0"/>
            </w:pPr>
            <w:r>
              <w:rPr>
                <w:rFonts w:ascii="Aptos" w:hAnsi="Aptos"/>
                <w:b/>
                <w:i w:val="0"/>
                <w:color w:val="FFFFFF"/>
                <w:sz w:val="19"/>
              </w:rPr>
              <w:t>Timing</w:t>
            </w:r>
          </w:p>
        </w:tc>
        <w:tc>
          <w:tcPr>
            <w:tcW w:type="dxa" w:w="2200"/>
            <w:tcMar>
              <w:top w:w="100" w:type="dxa"/>
              <w:start w:w="120" w:type="dxa"/>
              <w:bottom w:w="100" w:type="dxa"/>
              <w:end w:w="120" w:type="dxa"/>
            </w:tcMar>
            <w:vAlign w:val="center"/>
            <w:shd w:fill="123B5D"/>
          </w:tcPr>
          <w:p>
            <w:pPr>
              <w:keepLines/>
              <w:spacing w:after="0"/>
            </w:pPr>
            <w:r>
              <w:rPr>
                <w:rFonts w:ascii="Aptos" w:hAnsi="Aptos"/>
                <w:b/>
                <w:i w:val="0"/>
                <w:color w:val="FFFFFF"/>
                <w:sz w:val="19"/>
              </w:rPr>
              <w:t>Training</w:t>
            </w:r>
          </w:p>
        </w:tc>
        <w:tc>
          <w:tcPr>
            <w:tcW w:type="dxa" w:w="4960"/>
            <w:tcMar>
              <w:top w:w="100" w:type="dxa"/>
              <w:start w:w="120" w:type="dxa"/>
              <w:bottom w:w="100" w:type="dxa"/>
              <w:end w:w="120" w:type="dxa"/>
            </w:tcMar>
            <w:vAlign w:val="center"/>
            <w:shd w:fill="123B5D"/>
          </w:tcPr>
          <w:p>
            <w:pPr>
              <w:keepLines/>
              <w:spacing w:after="0"/>
            </w:pPr>
            <w:r>
              <w:rPr>
                <w:rFonts w:ascii="Aptos" w:hAnsi="Aptos"/>
                <w:b/>
                <w:i w:val="0"/>
                <w:color w:val="FFFFFF"/>
                <w:sz w:val="19"/>
              </w:rPr>
              <w:t>Primary focus</w:t>
            </w:r>
          </w:p>
        </w:tc>
      </w:tr>
      <w:tr>
        <w:trPr/>
        <w:tc>
          <w:tcPr>
            <w:tcW w:type="dxa" w:w="22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Before first meeting</w:t>
            </w:r>
          </w:p>
        </w:tc>
        <w:tc>
          <w:tcPr>
            <w:tcW w:type="dxa" w:w="22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Modules 1–4</w:t>
            </w:r>
          </w:p>
        </w:tc>
        <w:tc>
          <w:tcPr>
            <w:tcW w:type="dxa" w:w="49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Role, authority, duties, ethics</w:t>
            </w:r>
          </w:p>
        </w:tc>
      </w:tr>
      <w:tr>
        <w:trPr/>
        <w:tc>
          <w:tcPr>
            <w:tcW w:type="dxa" w:w="22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Within 60 days</w:t>
            </w:r>
          </w:p>
        </w:tc>
        <w:tc>
          <w:tcPr>
            <w:tcW w:type="dxa" w:w="22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Modules 5–8</w:t>
            </w:r>
          </w:p>
        </w:tc>
        <w:tc>
          <w:tcPr>
            <w:tcW w:type="dxa" w:w="496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Meetings, finance, records, board–staff partnership</w:t>
            </w:r>
          </w:p>
        </w:tc>
      </w:tr>
      <w:tr>
        <w:trPr/>
        <w:tc>
          <w:tcPr>
            <w:tcW w:type="dxa" w:w="22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Within 90 days</w:t>
            </w:r>
          </w:p>
        </w:tc>
        <w:tc>
          <w:tcPr>
            <w:tcW w:type="dxa" w:w="22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Modules 9–10</w:t>
            </w:r>
          </w:p>
        </w:tc>
        <w:tc>
          <w:tcPr>
            <w:tcW w:type="dxa" w:w="49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Culture, risk, communication</w:t>
            </w:r>
          </w:p>
        </w:tc>
      </w:tr>
      <w:tr>
        <w:trPr/>
        <w:tc>
          <w:tcPr>
            <w:tcW w:type="dxa" w:w="22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Each year</w:t>
            </w:r>
          </w:p>
        </w:tc>
        <w:tc>
          <w:tcPr>
            <w:tcW w:type="dxa" w:w="22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Annual refresher</w:t>
            </w:r>
          </w:p>
        </w:tc>
        <w:tc>
          <w:tcPr>
            <w:tcW w:type="dxa" w:w="496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Conflicts, finance, policies, goals, acknowledgments</w:t>
            </w:r>
          </w:p>
        </w:tc>
      </w:tr>
    </w:tbl>
    <w:p>
      <w:pPr>
        <w:spacing w:after="40"/>
      </w:pPr>
    </w:p>
    <w:p>
      <w:pPr>
        <w:pStyle w:val="Heading2"/>
      </w:pPr>
      <w:r>
        <w:t>Core reference hierarchy</w:t>
      </w:r>
    </w:p>
    <w:p>
      <w:pPr>
        <w:pStyle w:val="ListBullet"/>
        <w:spacing w:after="80" w:line="283" w:lineRule="auto"/>
      </w:pPr>
      <w:r>
        <w:rPr>
          <w:rFonts w:ascii="Aptos" w:hAnsi="Aptos"/>
          <w:b w:val="0"/>
          <w:i w:val="0"/>
          <w:color w:val="24313A"/>
          <w:sz w:val="22"/>
        </w:rPr>
        <w:t>Washington Nonprofit Corporation Act, chapter 24.03A RCW.</w:t>
      </w:r>
    </w:p>
    <w:p>
      <w:pPr>
        <w:pStyle w:val="ListBullet"/>
        <w:spacing w:after="80" w:line="283" w:lineRule="auto"/>
      </w:pPr>
      <w:r>
        <w:rPr>
          <w:rFonts w:ascii="Aptos" w:hAnsi="Aptos"/>
          <w:b w:val="0"/>
          <w:i w:val="0"/>
          <w:color w:val="24313A"/>
          <w:sz w:val="22"/>
        </w:rPr>
        <w:t>SKCDS Articles of Incorporation and current Bylaws.</w:t>
      </w:r>
    </w:p>
    <w:p>
      <w:pPr>
        <w:pStyle w:val="ListBullet"/>
        <w:spacing w:after="80" w:line="283" w:lineRule="auto"/>
      </w:pPr>
      <w:r>
        <w:rPr>
          <w:rFonts w:ascii="Aptos" w:hAnsi="Aptos"/>
          <w:b w:val="0"/>
          <w:i w:val="0"/>
          <w:color w:val="24313A"/>
          <w:sz w:val="22"/>
        </w:rPr>
        <w:t>Board-adopted policies, annual budget, strategic plan, and committee charters.</w:t>
      </w:r>
    </w:p>
    <w:p>
      <w:pPr>
        <w:pStyle w:val="ListBullet"/>
        <w:spacing w:after="80" w:line="283" w:lineRule="auto"/>
      </w:pPr>
      <w:r>
        <w:rPr>
          <w:rFonts w:ascii="Aptos" w:hAnsi="Aptos"/>
          <w:b w:val="0"/>
          <w:i w:val="0"/>
          <w:color w:val="24313A"/>
          <w:sz w:val="22"/>
        </w:rPr>
        <w:t>Current leadership calendar, meeting procedures, and records-retention practices.</w:t>
      </w:r>
    </w:p>
    <w:p>
      <w:pPr>
        <w:pStyle w:val="ListBullet"/>
        <w:spacing w:after="80" w:line="283" w:lineRule="auto"/>
      </w:pPr>
      <w:r>
        <w:rPr>
          <w:rFonts w:ascii="Aptos" w:hAnsi="Aptos"/>
          <w:b w:val="0"/>
          <w:i w:val="0"/>
          <w:color w:val="24313A"/>
          <w:sz w:val="22"/>
        </w:rPr>
        <w:t>Professional advice from legal counsel, accountants, insurance professionals, and other qualified experts when appropriate.</w:t>
      </w:r>
    </w:p>
    <w:p>
      <w:pPr>
        <w:pStyle w:val="Heading2"/>
      </w:pPr>
      <w:r>
        <w:t>Learning outcomes</w:t>
      </w:r>
    </w:p>
    <w:p>
      <w:pPr>
        <w:spacing w:after="120" w:line="283" w:lineRule="auto"/>
      </w:pPr>
      <w:r>
        <w:rPr>
          <w:rFonts w:ascii="Aptos" w:hAnsi="Aptos"/>
          <w:b w:val="0"/>
          <w:i w:val="0"/>
          <w:color w:val="24313A"/>
          <w:sz w:val="22"/>
        </w:rPr>
        <w:t>After completing the training, Executive Council members should be able to:</w:t>
      </w:r>
    </w:p>
    <w:p>
      <w:pPr>
        <w:pStyle w:val="ListBullet"/>
        <w:spacing w:after="80" w:line="283" w:lineRule="auto"/>
      </w:pPr>
      <w:r>
        <w:rPr>
          <w:rFonts w:ascii="Aptos" w:hAnsi="Aptos"/>
          <w:b w:val="0"/>
          <w:i w:val="0"/>
          <w:color w:val="24313A"/>
          <w:sz w:val="22"/>
        </w:rPr>
        <w:t>Explain the Executive Council’s governance role and the limits of individual authority.</w:t>
      </w:r>
    </w:p>
    <w:p>
      <w:pPr>
        <w:pStyle w:val="ListBullet"/>
        <w:spacing w:after="80" w:line="283" w:lineRule="auto"/>
      </w:pPr>
      <w:r>
        <w:rPr>
          <w:rFonts w:ascii="Aptos" w:hAnsi="Aptos"/>
          <w:b w:val="0"/>
          <w:i w:val="0"/>
          <w:color w:val="24313A"/>
          <w:sz w:val="22"/>
        </w:rPr>
        <w:t>Apply duties of care, loyalty, and obedience to real SKCDS decisions.</w:t>
      </w:r>
    </w:p>
    <w:p>
      <w:pPr>
        <w:pStyle w:val="ListBullet"/>
        <w:spacing w:after="80" w:line="283" w:lineRule="auto"/>
      </w:pPr>
      <w:r>
        <w:rPr>
          <w:rFonts w:ascii="Aptos" w:hAnsi="Aptos"/>
          <w:b w:val="0"/>
          <w:i w:val="0"/>
          <w:color w:val="24313A"/>
          <w:sz w:val="22"/>
        </w:rPr>
        <w:t>Identify and manage conflicts of interest before deliberation or voting.</w:t>
      </w:r>
    </w:p>
    <w:p>
      <w:pPr>
        <w:pStyle w:val="ListBullet"/>
        <w:spacing w:after="80" w:line="283" w:lineRule="auto"/>
      </w:pPr>
      <w:r>
        <w:rPr>
          <w:rFonts w:ascii="Aptos" w:hAnsi="Aptos"/>
          <w:b w:val="0"/>
          <w:i w:val="0"/>
          <w:color w:val="24313A"/>
          <w:sz w:val="22"/>
        </w:rPr>
        <w:t>Read financial reports, ask informed questions, and support internal controls.</w:t>
      </w:r>
    </w:p>
    <w:p>
      <w:pPr>
        <w:pStyle w:val="ListBullet"/>
        <w:spacing w:after="80" w:line="283" w:lineRule="auto"/>
      </w:pPr>
      <w:r>
        <w:rPr>
          <w:rFonts w:ascii="Aptos" w:hAnsi="Aptos"/>
          <w:b w:val="0"/>
          <w:i w:val="0"/>
          <w:color w:val="24313A"/>
          <w:sz w:val="22"/>
        </w:rPr>
        <w:t>Participate in orderly, well-documented meetings and preserve confidentiality.</w:t>
      </w:r>
    </w:p>
    <w:p>
      <w:pPr>
        <w:pStyle w:val="ListBullet"/>
        <w:spacing w:after="80" w:line="283" w:lineRule="auto"/>
      </w:pPr>
      <w:r>
        <w:rPr>
          <w:rFonts w:ascii="Aptos" w:hAnsi="Aptos"/>
          <w:b w:val="0"/>
          <w:i w:val="0"/>
          <w:color w:val="24313A"/>
          <w:sz w:val="22"/>
        </w:rPr>
        <w:t>Support the Executive Director without directing individual staff or taking over operations.</w:t>
      </w:r>
    </w:p>
    <w:p>
      <w:pPr>
        <w:pStyle w:val="Heading1"/>
      </w:pPr>
      <w:r>
        <w:t>Module 1 — Serving SKCDS</w:t>
      </w:r>
    </w:p>
    <w:tbl>
      <w:tblPr>
        <w:tblW w:type="dxa" w:w="9360"/>
        <w:jc w:val="left"/>
        <w:tblLayout w:type="fixed"/>
        <w:tblLook w:firstColumn="1" w:firstRow="1" w:lastColumn="0" w:lastRow="0" w:noHBand="0" w:noVBand="1" w:val="04A0"/>
        <w:tblInd w:w="120" w:type="dxa"/>
      </w:tblPr>
      <w:tblGrid>
        <w:gridCol w:w="9360"/>
      </w:tblGrid>
      <w:tr>
        <w:trPr/>
        <w:tc>
          <w:tcPr>
            <w:tcW w:type="dxa" w:w="9360"/>
            <w:tcMar>
              <w:top w:w="100" w:type="dxa"/>
              <w:start w:w="120" w:type="dxa"/>
              <w:bottom w:w="100" w:type="dxa"/>
              <w:end w:w="120" w:type="dxa"/>
            </w:tcMar>
            <w:vAlign w:val="center"/>
            <w:shd w:fill="E8F5F3"/>
          </w:tcPr>
          <w:p>
            <w:pPr>
              <w:keepLines/>
              <w:spacing w:after="0"/>
            </w:pPr>
            <w:r>
              <w:rPr>
                <w:rFonts w:ascii="Aptos" w:hAnsi="Aptos"/>
                <w:b/>
                <w:i w:val="0"/>
                <w:color w:val="3B9AA0"/>
                <w:sz w:val="22"/>
              </w:rPr>
              <w:t xml:space="preserve">KEY IDEA  </w:t>
            </w:r>
            <w:r>
              <w:rPr>
                <w:rFonts w:ascii="Aptos" w:hAnsi="Aptos"/>
                <w:b w:val="0"/>
                <w:i w:val="0"/>
                <w:color w:val="24313A"/>
                <w:sz w:val="22"/>
              </w:rPr>
              <w:t>Executive Council service is stewardship of the organization—not representation of a personal practice, specialty, employer, committee, or constituency.</w:t>
            </w:r>
          </w:p>
        </w:tc>
      </w:tr>
    </w:tbl>
    <w:p>
      <w:pPr>
        <w:spacing w:after="40"/>
      </w:pPr>
    </w:p>
    <w:p>
      <w:pPr>
        <w:pStyle w:val="Heading2"/>
      </w:pPr>
      <w:r>
        <w:t>The governance role</w:t>
      </w:r>
    </w:p>
    <w:p>
      <w:pPr>
        <w:spacing w:after="120" w:line="283" w:lineRule="auto"/>
      </w:pPr>
      <w:r>
        <w:rPr>
          <w:rFonts w:ascii="Aptos" w:hAnsi="Aptos"/>
          <w:b w:val="0"/>
          <w:i w:val="0"/>
          <w:color w:val="24313A"/>
          <w:sz w:val="22"/>
        </w:rPr>
        <w:t>The Executive Council governs collectively. Its work is to protect the mission, establish direction, provide financial and organizational oversight, adopt policy, and evaluate organizational performance. Individual members have no independent authority to bind SKCDS unless the bylaws, a policy, or a formal board action grants that authority.</w:t>
      </w:r>
    </w:p>
    <w:tbl>
      <w:tblPr>
        <w:tblStyle w:val="TableGrid"/>
        <w:tblW w:type="dxa" w:w="9360"/>
        <w:jc w:val="left"/>
        <w:tblLayout w:type="fixed"/>
        <w:tblLook w:firstColumn="1" w:firstRow="1" w:lastColumn="0" w:lastRow="0" w:noHBand="0" w:noVBand="1" w:val="04A0"/>
        <w:tblInd w:w="120" w:type="dxa"/>
      </w:tblPr>
      <w:tblGrid>
        <w:gridCol w:w="4680"/>
        <w:gridCol w:w="4680"/>
      </w:tblGrid>
      <w:tr>
        <w:trPr>
          <w:tblHeader w:val="true"/>
        </w:trPr>
        <w:tc>
          <w:tcPr>
            <w:tcW w:type="dxa" w:w="4680"/>
            <w:tcMar>
              <w:top w:w="100" w:type="dxa"/>
              <w:start w:w="120" w:type="dxa"/>
              <w:bottom w:w="100" w:type="dxa"/>
              <w:end w:w="120" w:type="dxa"/>
            </w:tcMar>
            <w:vAlign w:val="center"/>
            <w:shd w:fill="123B5D"/>
          </w:tcPr>
          <w:p>
            <w:pPr>
              <w:keepLines/>
              <w:spacing w:after="0"/>
            </w:pPr>
            <w:r>
              <w:rPr>
                <w:rFonts w:ascii="Aptos" w:hAnsi="Aptos"/>
                <w:b/>
                <w:i w:val="0"/>
                <w:color w:val="FFFFFF"/>
                <w:sz w:val="19"/>
              </w:rPr>
              <w:t>Executive Council governs</w:t>
            </w:r>
          </w:p>
        </w:tc>
        <w:tc>
          <w:tcPr>
            <w:tcW w:type="dxa" w:w="4680"/>
            <w:tcMar>
              <w:top w:w="100" w:type="dxa"/>
              <w:start w:w="120" w:type="dxa"/>
              <w:bottom w:w="100" w:type="dxa"/>
              <w:end w:w="120" w:type="dxa"/>
            </w:tcMar>
            <w:vAlign w:val="center"/>
            <w:shd w:fill="123B5D"/>
          </w:tcPr>
          <w:p>
            <w:pPr>
              <w:keepLines/>
              <w:spacing w:after="0"/>
            </w:pPr>
            <w:r>
              <w:rPr>
                <w:rFonts w:ascii="Aptos" w:hAnsi="Aptos"/>
                <w:b/>
                <w:i w:val="0"/>
                <w:color w:val="FFFFFF"/>
                <w:sz w:val="19"/>
              </w:rPr>
              <w:t>Staff manages</w:t>
            </w:r>
          </w:p>
        </w:tc>
      </w:tr>
      <w:tr>
        <w:trPr/>
        <w:tc>
          <w:tcPr>
            <w:tcW w:type="dxa" w:w="468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Mission, strategy, policy, and major priorities</w:t>
            </w:r>
          </w:p>
        </w:tc>
        <w:tc>
          <w:tcPr>
            <w:tcW w:type="dxa" w:w="468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Programs, workflows, vendors, communications, and implementation</w:t>
            </w:r>
          </w:p>
        </w:tc>
      </w:tr>
      <w:tr>
        <w:trPr/>
        <w:tc>
          <w:tcPr>
            <w:tcW w:type="dxa" w:w="468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Budget approval and financial oversight</w:t>
            </w:r>
          </w:p>
        </w:tc>
        <w:tc>
          <w:tcPr>
            <w:tcW w:type="dxa" w:w="468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Budget administration, reporting, and approved spending</w:t>
            </w:r>
          </w:p>
        </w:tc>
      </w:tr>
      <w:tr>
        <w:trPr/>
        <w:tc>
          <w:tcPr>
            <w:tcW w:type="dxa" w:w="468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Executive Director selection, support, and evaluation</w:t>
            </w:r>
          </w:p>
        </w:tc>
        <w:tc>
          <w:tcPr>
            <w:tcW w:type="dxa" w:w="468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Supervision and direction of employees and contractors</w:t>
            </w:r>
          </w:p>
        </w:tc>
      </w:tr>
      <w:tr>
        <w:trPr/>
        <w:tc>
          <w:tcPr>
            <w:tcW w:type="dxa" w:w="468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Risk oversight and accountability</w:t>
            </w:r>
          </w:p>
        </w:tc>
        <w:tc>
          <w:tcPr>
            <w:tcW w:type="dxa" w:w="468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Daily compliance, documentation, and escalation</w:t>
            </w:r>
          </w:p>
        </w:tc>
      </w:tr>
    </w:tbl>
    <w:p>
      <w:pPr>
        <w:spacing w:after="40"/>
      </w:pPr>
    </w:p>
    <w:p>
      <w:pPr>
        <w:pStyle w:val="Heading2"/>
      </w:pPr>
      <w:r>
        <w:t>Role boundaries</w:t>
      </w:r>
    </w:p>
    <w:p>
      <w:pPr>
        <w:pStyle w:val="ListBullet"/>
        <w:spacing w:after="80" w:line="283" w:lineRule="auto"/>
      </w:pPr>
      <w:r>
        <w:rPr>
          <w:rFonts w:ascii="Aptos" w:hAnsi="Aptos"/>
          <w:b w:val="0"/>
          <w:i w:val="0"/>
          <w:color w:val="24313A"/>
          <w:sz w:val="22"/>
        </w:rPr>
        <w:t>Speak with one governance voice after a decision, while preserving the right to record a dissent or abstention appropriately.</w:t>
      </w:r>
    </w:p>
    <w:p>
      <w:pPr>
        <w:pStyle w:val="ListBullet"/>
        <w:spacing w:after="80" w:line="283" w:lineRule="auto"/>
      </w:pPr>
      <w:r>
        <w:rPr>
          <w:rFonts w:ascii="Aptos" w:hAnsi="Aptos"/>
          <w:b w:val="0"/>
          <w:i w:val="0"/>
          <w:color w:val="24313A"/>
          <w:sz w:val="22"/>
        </w:rPr>
        <w:t>Bring questions and concerns through the President, Executive Director, or established process—not through informal staff direction.</w:t>
      </w:r>
    </w:p>
    <w:p>
      <w:pPr>
        <w:pStyle w:val="ListBullet"/>
        <w:spacing w:after="80" w:line="283" w:lineRule="auto"/>
      </w:pPr>
      <w:r>
        <w:rPr>
          <w:rFonts w:ascii="Aptos" w:hAnsi="Aptos"/>
          <w:b w:val="0"/>
          <w:i w:val="0"/>
          <w:color w:val="24313A"/>
          <w:sz w:val="22"/>
        </w:rPr>
        <w:t>Avoid promising SKCDS resources, positions, sponsorships, contracts, or outcomes without authority.</w:t>
      </w:r>
    </w:p>
    <w:p>
      <w:pPr>
        <w:pStyle w:val="ListBullet"/>
        <w:spacing w:after="80" w:line="283" w:lineRule="auto"/>
      </w:pPr>
      <w:r>
        <w:rPr>
          <w:rFonts w:ascii="Aptos" w:hAnsi="Aptos"/>
          <w:b w:val="0"/>
          <w:i w:val="0"/>
          <w:color w:val="24313A"/>
          <w:sz w:val="22"/>
        </w:rPr>
        <w:t>Distinguish personal views from official SKCDS positions in public or professional settings.</w:t>
      </w:r>
    </w:p>
    <w:tbl>
      <w:tblPr>
        <w:tblW w:type="dxa" w:w="9360"/>
        <w:jc w:val="left"/>
        <w:tblLayout w:type="fixed"/>
        <w:tblLook w:firstColumn="1" w:firstRow="1" w:lastColumn="0" w:lastRow="0" w:noHBand="0" w:noVBand="1" w:val="04A0"/>
        <w:tblInd w:w="120" w:type="dxa"/>
      </w:tblPr>
      <w:tblGrid>
        <w:gridCol w:w="9360"/>
      </w:tblGrid>
      <w:tr>
        <w:trPr/>
        <w:tc>
          <w:tcPr>
            <w:tcW w:type="dxa" w:w="9360"/>
            <w:tcMar>
              <w:top w:w="100" w:type="dxa"/>
              <w:start w:w="120" w:type="dxa"/>
              <w:bottom w:w="100" w:type="dxa"/>
              <w:end w:w="120" w:type="dxa"/>
            </w:tcMar>
            <w:vAlign w:val="center"/>
            <w:shd w:fill="FFF5DB"/>
          </w:tcPr>
          <w:p>
            <w:pPr>
              <w:keepLines/>
              <w:spacing w:after="0"/>
            </w:pPr>
            <w:r>
              <w:rPr>
                <w:rFonts w:ascii="Aptos" w:hAnsi="Aptos"/>
                <w:b/>
                <w:i w:val="0"/>
                <w:color w:val="7A5A00"/>
                <w:sz w:val="22"/>
              </w:rPr>
              <w:t xml:space="preserve">REFLECTION  </w:t>
            </w:r>
            <w:r>
              <w:rPr>
                <w:rFonts w:ascii="Aptos" w:hAnsi="Aptos"/>
                <w:b w:val="0"/>
                <w:i w:val="0"/>
                <w:color w:val="24313A"/>
                <w:sz w:val="22"/>
              </w:rPr>
              <w:t>What changes when you move from “What do I prefer?” to “What best advances SKCDS’s mission and obligations?”</w:t>
            </w:r>
          </w:p>
        </w:tc>
      </w:tr>
    </w:tbl>
    <w:p>
      <w:pPr>
        <w:spacing w:after="40"/>
      </w:pPr>
    </w:p>
    <w:p>
      <w:pPr>
        <w:pStyle w:val="Heading1"/>
      </w:pPr>
      <w:r>
        <w:t>Module 2 — Authority and Governance Framework</w:t>
      </w:r>
    </w:p>
    <w:p>
      <w:pPr>
        <w:pStyle w:val="Heading2"/>
      </w:pPr>
      <w:r>
        <w:t>Know which document controls</w:t>
      </w:r>
    </w:p>
    <w:p>
      <w:pPr>
        <w:pStyle w:val="ListNumber"/>
        <w:spacing w:after="80" w:line="283" w:lineRule="auto"/>
      </w:pPr>
      <w:r>
        <w:rPr>
          <w:rFonts w:ascii="Aptos" w:hAnsi="Aptos"/>
          <w:b w:val="0"/>
          <w:i w:val="0"/>
          <w:color w:val="24313A"/>
          <w:sz w:val="22"/>
        </w:rPr>
        <w:t>Applicable federal and Washington law.</w:t>
      </w:r>
    </w:p>
    <w:p>
      <w:pPr>
        <w:pStyle w:val="ListNumber"/>
        <w:spacing w:after="80" w:line="283" w:lineRule="auto"/>
      </w:pPr>
      <w:r>
        <w:rPr>
          <w:rFonts w:ascii="Aptos" w:hAnsi="Aptos"/>
          <w:b w:val="0"/>
          <w:i w:val="0"/>
          <w:color w:val="24313A"/>
          <w:sz w:val="22"/>
        </w:rPr>
        <w:t>Articles of Incorporation.</w:t>
      </w:r>
    </w:p>
    <w:p>
      <w:pPr>
        <w:pStyle w:val="ListNumber"/>
        <w:spacing w:after="80" w:line="283" w:lineRule="auto"/>
      </w:pPr>
      <w:r>
        <w:rPr>
          <w:rFonts w:ascii="Aptos" w:hAnsi="Aptos"/>
          <w:b w:val="0"/>
          <w:i w:val="0"/>
          <w:color w:val="24313A"/>
          <w:sz w:val="22"/>
        </w:rPr>
        <w:t>Bylaws.</w:t>
      </w:r>
    </w:p>
    <w:p>
      <w:pPr>
        <w:pStyle w:val="ListNumber"/>
        <w:spacing w:after="80" w:line="283" w:lineRule="auto"/>
      </w:pPr>
      <w:r>
        <w:rPr>
          <w:rFonts w:ascii="Aptos" w:hAnsi="Aptos"/>
          <w:b w:val="0"/>
          <w:i w:val="0"/>
          <w:color w:val="24313A"/>
          <w:sz w:val="22"/>
        </w:rPr>
        <w:t>Board-adopted policies, resolutions, and charters.</w:t>
      </w:r>
    </w:p>
    <w:p>
      <w:pPr>
        <w:pStyle w:val="ListNumber"/>
        <w:spacing w:after="80" w:line="283" w:lineRule="auto"/>
      </w:pPr>
      <w:r>
        <w:rPr>
          <w:rFonts w:ascii="Aptos" w:hAnsi="Aptos"/>
          <w:b w:val="0"/>
          <w:i w:val="0"/>
          <w:color w:val="24313A"/>
          <w:sz w:val="22"/>
        </w:rPr>
        <w:t>Current operating plans and procedures, consistent with the authorities above.</w:t>
      </w:r>
    </w:p>
    <w:p>
      <w:pPr>
        <w:spacing w:after="120" w:line="283" w:lineRule="auto"/>
      </w:pPr>
      <w:r>
        <w:rPr>
          <w:rFonts w:ascii="Aptos" w:hAnsi="Aptos"/>
          <w:b w:val="0"/>
          <w:i w:val="0"/>
          <w:color w:val="24313A"/>
          <w:sz w:val="22"/>
        </w:rPr>
        <w:t>If documents conflict or the authority is unclear, pause the decision and request clarification rather than relying on custom or past practice.</w:t>
      </w:r>
    </w:p>
    <w:p>
      <w:pPr>
        <w:pStyle w:val="Heading2"/>
      </w:pPr>
      <w:r>
        <w:t>Board action</w:t>
      </w:r>
    </w:p>
    <w:p>
      <w:pPr>
        <w:pStyle w:val="ListBullet"/>
        <w:spacing w:after="80" w:line="283" w:lineRule="auto"/>
      </w:pPr>
      <w:r>
        <w:rPr>
          <w:rFonts w:ascii="Aptos" w:hAnsi="Aptos"/>
          <w:b w:val="0"/>
          <w:i w:val="0"/>
          <w:color w:val="24313A"/>
          <w:sz w:val="22"/>
        </w:rPr>
        <w:t>Confirm that proper notice, quorum, and voting requirements are met under the bylaws and applicable law.</w:t>
      </w:r>
    </w:p>
    <w:p>
      <w:pPr>
        <w:pStyle w:val="ListBullet"/>
        <w:spacing w:after="80" w:line="283" w:lineRule="auto"/>
      </w:pPr>
      <w:r>
        <w:rPr>
          <w:rFonts w:ascii="Aptos" w:hAnsi="Aptos"/>
          <w:b w:val="0"/>
          <w:i w:val="0"/>
          <w:color w:val="24313A"/>
          <w:sz w:val="22"/>
        </w:rPr>
        <w:t>Use motions or clearly stated proposals so members understand the exact action under consideration.</w:t>
      </w:r>
    </w:p>
    <w:p>
      <w:pPr>
        <w:pStyle w:val="ListBullet"/>
        <w:spacing w:after="80" w:line="283" w:lineRule="auto"/>
      </w:pPr>
      <w:r>
        <w:rPr>
          <w:rFonts w:ascii="Aptos" w:hAnsi="Aptos"/>
          <w:b w:val="0"/>
          <w:i w:val="0"/>
          <w:color w:val="24313A"/>
          <w:sz w:val="22"/>
        </w:rPr>
        <w:t>Record actions accurately in minutes, including adopted motions and material abstentions or recusals.</w:t>
      </w:r>
    </w:p>
    <w:p>
      <w:pPr>
        <w:pStyle w:val="ListBullet"/>
        <w:spacing w:after="80" w:line="283" w:lineRule="auto"/>
      </w:pPr>
      <w:r>
        <w:rPr>
          <w:rFonts w:ascii="Aptos" w:hAnsi="Aptos"/>
          <w:b w:val="0"/>
          <w:i w:val="0"/>
          <w:color w:val="24313A"/>
          <w:sz w:val="22"/>
        </w:rPr>
        <w:t>Use unanimous written consent only when legally and procedurally appropriate; retain the consent permanently with corporate records.</w:t>
      </w:r>
    </w:p>
    <w:tbl>
      <w:tblPr>
        <w:tblW w:type="dxa" w:w="9360"/>
        <w:jc w:val="left"/>
        <w:tblLayout w:type="fixed"/>
        <w:tblLook w:firstColumn="1" w:firstRow="1" w:lastColumn="0" w:lastRow="0" w:noHBand="0" w:noVBand="1" w:val="04A0"/>
        <w:tblInd w:w="120" w:type="dxa"/>
      </w:tblPr>
      <w:tblGrid>
        <w:gridCol w:w="9360"/>
      </w:tblGrid>
      <w:tr>
        <w:trPr/>
        <w:tc>
          <w:tcPr>
            <w:tcW w:type="dxa" w:w="9360"/>
            <w:tcMar>
              <w:top w:w="100" w:type="dxa"/>
              <w:start w:w="120" w:type="dxa"/>
              <w:bottom w:w="100" w:type="dxa"/>
              <w:end w:w="120" w:type="dxa"/>
            </w:tcMar>
            <w:vAlign w:val="center"/>
            <w:shd w:fill="E8F1F6"/>
          </w:tcPr>
          <w:p>
            <w:pPr>
              <w:keepLines/>
              <w:spacing w:after="0"/>
            </w:pPr>
            <w:r>
              <w:rPr>
                <w:rFonts w:ascii="Aptos" w:hAnsi="Aptos"/>
                <w:b/>
                <w:i w:val="0"/>
                <w:color w:val="2878A8"/>
                <w:sz w:val="22"/>
              </w:rPr>
              <w:t xml:space="preserve">LEGAL ANCHOR  </w:t>
            </w:r>
            <w:r>
              <w:rPr>
                <w:rFonts w:ascii="Aptos" w:hAnsi="Aptos"/>
                <w:b w:val="0"/>
                <w:i w:val="0"/>
                <w:color w:val="24313A"/>
                <w:sz w:val="22"/>
              </w:rPr>
              <w:t>Washington law generally permits remote board participation when all participating directors can simultaneously communicate and when authorized participation instructions are provided. SKCDS’s bylaws may add requirements. See RCW 24.03A.550.</w:t>
            </w:r>
          </w:p>
        </w:tc>
      </w:tr>
    </w:tbl>
    <w:p>
      <w:pPr>
        <w:spacing w:after="40"/>
      </w:pPr>
    </w:p>
    <w:p>
      <w:r>
        <w:br w:type="page"/>
      </w:r>
    </w:p>
    <w:p>
      <w:pPr>
        <w:pStyle w:val="Heading1"/>
      </w:pPr>
      <w:r>
        <w:t>Module 3 — Fiduciary Duties</w:t>
      </w:r>
    </w:p>
    <w:p>
      <w:pPr>
        <w:spacing w:after="120" w:line="283" w:lineRule="auto"/>
      </w:pPr>
      <w:r>
        <w:rPr>
          <w:rFonts w:ascii="Aptos" w:hAnsi="Aptos"/>
          <w:b w:val="0"/>
          <w:i w:val="0"/>
          <w:color w:val="24313A"/>
          <w:sz w:val="22"/>
        </w:rPr>
        <w:t>Washington law requires directors to act in good faith, with the care an ordinarily prudent person in a similar position would exercise, and in a manner reasonably believed to be in the nonprofit corporation’s best interests.</w:t>
      </w:r>
    </w:p>
    <w:tbl>
      <w:tblPr>
        <w:tblStyle w:val="TableGrid"/>
        <w:tblW w:type="dxa" w:w="9360"/>
        <w:jc w:val="left"/>
        <w:tblLayout w:type="fixed"/>
        <w:tblLook w:firstColumn="1" w:firstRow="1" w:lastColumn="0" w:lastRow="0" w:noHBand="0" w:noVBand="1" w:val="04A0"/>
        <w:tblInd w:w="120" w:type="dxa"/>
      </w:tblPr>
      <w:tblGrid>
        <w:gridCol w:w="1550"/>
        <w:gridCol w:w="4760"/>
        <w:gridCol w:w="3050"/>
      </w:tblGrid>
      <w:tr>
        <w:trPr>
          <w:tblHeader w:val="true"/>
        </w:trPr>
        <w:tc>
          <w:tcPr>
            <w:tcW w:type="dxa" w:w="1550"/>
            <w:tcMar>
              <w:top w:w="100" w:type="dxa"/>
              <w:start w:w="120" w:type="dxa"/>
              <w:bottom w:w="100" w:type="dxa"/>
              <w:end w:w="120" w:type="dxa"/>
            </w:tcMar>
            <w:vAlign w:val="center"/>
            <w:shd w:fill="123B5D"/>
          </w:tcPr>
          <w:p>
            <w:pPr>
              <w:keepLines/>
              <w:spacing w:after="0"/>
            </w:pPr>
            <w:r>
              <w:rPr>
                <w:rFonts w:ascii="Aptos" w:hAnsi="Aptos"/>
                <w:b/>
                <w:i w:val="0"/>
                <w:color w:val="FFFFFF"/>
                <w:sz w:val="19"/>
              </w:rPr>
              <w:t>Duty</w:t>
            </w:r>
          </w:p>
        </w:tc>
        <w:tc>
          <w:tcPr>
            <w:tcW w:type="dxa" w:w="4760"/>
            <w:tcMar>
              <w:top w:w="100" w:type="dxa"/>
              <w:start w:w="120" w:type="dxa"/>
              <w:bottom w:w="100" w:type="dxa"/>
              <w:end w:w="120" w:type="dxa"/>
            </w:tcMar>
            <w:vAlign w:val="center"/>
            <w:shd w:fill="123B5D"/>
          </w:tcPr>
          <w:p>
            <w:pPr>
              <w:keepLines/>
              <w:spacing w:after="0"/>
            </w:pPr>
            <w:r>
              <w:rPr>
                <w:rFonts w:ascii="Aptos" w:hAnsi="Aptos"/>
                <w:b/>
                <w:i w:val="0"/>
                <w:color w:val="FFFFFF"/>
                <w:sz w:val="19"/>
              </w:rPr>
              <w:t>What it looks like at SKCDS</w:t>
            </w:r>
          </w:p>
        </w:tc>
        <w:tc>
          <w:tcPr>
            <w:tcW w:type="dxa" w:w="3050"/>
            <w:tcMar>
              <w:top w:w="100" w:type="dxa"/>
              <w:start w:w="120" w:type="dxa"/>
              <w:bottom w:w="100" w:type="dxa"/>
              <w:end w:w="120" w:type="dxa"/>
            </w:tcMar>
            <w:vAlign w:val="center"/>
            <w:shd w:fill="123B5D"/>
          </w:tcPr>
          <w:p>
            <w:pPr>
              <w:keepLines/>
              <w:spacing w:after="0"/>
            </w:pPr>
            <w:r>
              <w:rPr>
                <w:rFonts w:ascii="Aptos" w:hAnsi="Aptos"/>
                <w:b/>
                <w:i w:val="0"/>
                <w:color w:val="FFFFFF"/>
                <w:sz w:val="19"/>
              </w:rPr>
              <w:t>Warning sign</w:t>
            </w:r>
          </w:p>
        </w:tc>
      </w:tr>
      <w:tr>
        <w:trPr/>
        <w:tc>
          <w:tcPr>
            <w:tcW w:type="dxa" w:w="155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Care</w:t>
            </w:r>
          </w:p>
        </w:tc>
        <w:tc>
          <w:tcPr>
            <w:tcW w:type="dxa" w:w="47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Prepare, attend, ask questions, review finances, and use reliable information.</w:t>
            </w:r>
          </w:p>
        </w:tc>
        <w:tc>
          <w:tcPr>
            <w:tcW w:type="dxa" w:w="305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Voting without reviewing materials or understanding consequences.</w:t>
            </w:r>
          </w:p>
        </w:tc>
      </w:tr>
      <w:tr>
        <w:trPr/>
        <w:tc>
          <w:tcPr>
            <w:tcW w:type="dxa" w:w="155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Loyalty</w:t>
            </w:r>
          </w:p>
        </w:tc>
        <w:tc>
          <w:tcPr>
            <w:tcW w:type="dxa" w:w="476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Put SKCDS interests ahead of personal, employer, vendor, or committee interests.</w:t>
            </w:r>
          </w:p>
        </w:tc>
        <w:tc>
          <w:tcPr>
            <w:tcW w:type="dxa" w:w="305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Using position, information, or influence for private advantage.</w:t>
            </w:r>
          </w:p>
        </w:tc>
      </w:tr>
      <w:tr>
        <w:trPr/>
        <w:tc>
          <w:tcPr>
            <w:tcW w:type="dxa" w:w="155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Obedience</w:t>
            </w:r>
          </w:p>
        </w:tc>
        <w:tc>
          <w:tcPr>
            <w:tcW w:type="dxa" w:w="47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Follow mission, law, bylaws, restrictions, and valid board decisions.</w:t>
            </w:r>
          </w:p>
        </w:tc>
        <w:tc>
          <w:tcPr>
            <w:tcW w:type="dxa" w:w="305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Redirecting assets or activity outside approved purpose or authority.</w:t>
            </w:r>
          </w:p>
        </w:tc>
      </w:tr>
    </w:tbl>
    <w:p>
      <w:pPr>
        <w:spacing w:after="40"/>
      </w:pPr>
    </w:p>
    <w:p>
      <w:pPr>
        <w:pStyle w:val="Heading2"/>
      </w:pPr>
      <w:r>
        <w:t>A practical decision test</w:t>
      </w:r>
    </w:p>
    <w:p>
      <w:pPr>
        <w:pStyle w:val="ListNumber"/>
        <w:spacing w:after="80" w:line="283" w:lineRule="auto"/>
      </w:pPr>
      <w:r>
        <w:rPr>
          <w:rFonts w:ascii="Aptos" w:hAnsi="Aptos"/>
          <w:b w:val="0"/>
          <w:i w:val="0"/>
          <w:color w:val="24313A"/>
          <w:sz w:val="22"/>
        </w:rPr>
        <w:t>Authority: Are we authorized to act?</w:t>
      </w:r>
    </w:p>
    <w:p>
      <w:pPr>
        <w:pStyle w:val="ListNumber"/>
        <w:spacing w:after="80" w:line="283" w:lineRule="auto"/>
      </w:pPr>
      <w:r>
        <w:rPr>
          <w:rFonts w:ascii="Aptos" w:hAnsi="Aptos"/>
          <w:b w:val="0"/>
          <w:i w:val="0"/>
          <w:color w:val="24313A"/>
          <w:sz w:val="22"/>
        </w:rPr>
        <w:t>Purpose: How does this advance the mission or an approved priority?</w:t>
      </w:r>
    </w:p>
    <w:p>
      <w:pPr>
        <w:pStyle w:val="ListNumber"/>
        <w:spacing w:after="80" w:line="283" w:lineRule="auto"/>
      </w:pPr>
      <w:r>
        <w:rPr>
          <w:rFonts w:ascii="Aptos" w:hAnsi="Aptos"/>
          <w:b w:val="0"/>
          <w:i w:val="0"/>
          <w:color w:val="24313A"/>
          <w:sz w:val="22"/>
        </w:rPr>
        <w:t>Information: What facts, options, costs, and risks do we need?</w:t>
      </w:r>
    </w:p>
    <w:p>
      <w:pPr>
        <w:pStyle w:val="ListNumber"/>
        <w:spacing w:after="80" w:line="283" w:lineRule="auto"/>
      </w:pPr>
      <w:r>
        <w:rPr>
          <w:rFonts w:ascii="Aptos" w:hAnsi="Aptos"/>
          <w:b w:val="0"/>
          <w:i w:val="0"/>
          <w:color w:val="24313A"/>
          <w:sz w:val="22"/>
        </w:rPr>
        <w:t>Interests: Has every actual or potential conflict been disclosed?</w:t>
      </w:r>
    </w:p>
    <w:p>
      <w:pPr>
        <w:pStyle w:val="ListNumber"/>
        <w:spacing w:after="80" w:line="283" w:lineRule="auto"/>
      </w:pPr>
      <w:r>
        <w:rPr>
          <w:rFonts w:ascii="Aptos" w:hAnsi="Aptos"/>
          <w:b w:val="0"/>
          <w:i w:val="0"/>
          <w:color w:val="24313A"/>
          <w:sz w:val="22"/>
        </w:rPr>
        <w:t>Prudence: Is the decision reasonable under the circumstances?</w:t>
      </w:r>
    </w:p>
    <w:p>
      <w:pPr>
        <w:pStyle w:val="ListNumber"/>
        <w:spacing w:after="80" w:line="283" w:lineRule="auto"/>
      </w:pPr>
      <w:r>
        <w:rPr>
          <w:rFonts w:ascii="Aptos" w:hAnsi="Aptos"/>
          <w:b w:val="0"/>
          <w:i w:val="0"/>
          <w:color w:val="24313A"/>
          <w:sz w:val="22"/>
        </w:rPr>
        <w:t>Record: Can the minutes clearly show what was decided and why the process was responsible?</w:t>
      </w:r>
    </w:p>
    <w:tbl>
      <w:tblPr>
        <w:tblW w:type="dxa" w:w="9360"/>
        <w:jc w:val="left"/>
        <w:tblLayout w:type="fixed"/>
        <w:tblLook w:firstColumn="1" w:firstRow="1" w:lastColumn="0" w:lastRow="0" w:noHBand="0" w:noVBand="1" w:val="04A0"/>
        <w:tblInd w:w="120" w:type="dxa"/>
      </w:tblPr>
      <w:tblGrid>
        <w:gridCol w:w="9360"/>
      </w:tblGrid>
      <w:tr>
        <w:trPr/>
        <w:tc>
          <w:tcPr>
            <w:tcW w:type="dxa" w:w="9360"/>
            <w:tcMar>
              <w:top w:w="100" w:type="dxa"/>
              <w:start w:w="120" w:type="dxa"/>
              <w:bottom w:w="100" w:type="dxa"/>
              <w:end w:w="120" w:type="dxa"/>
            </w:tcMar>
            <w:vAlign w:val="center"/>
            <w:shd w:fill="E8F5F3"/>
          </w:tcPr>
          <w:p>
            <w:pPr>
              <w:keepLines/>
              <w:spacing w:after="0"/>
            </w:pPr>
            <w:r>
              <w:rPr>
                <w:rFonts w:ascii="Aptos" w:hAnsi="Aptos"/>
                <w:b/>
                <w:i w:val="0"/>
                <w:color w:val="3B9AA0"/>
                <w:sz w:val="22"/>
              </w:rPr>
              <w:t xml:space="preserve">RELIANCE ON EXPERTS  </w:t>
            </w:r>
            <w:r>
              <w:rPr>
                <w:rFonts w:ascii="Aptos" w:hAnsi="Aptos"/>
                <w:b w:val="0"/>
                <w:i w:val="0"/>
                <w:color w:val="24313A"/>
                <w:sz w:val="22"/>
              </w:rPr>
              <w:t>Directors may reasonably rely on competent officers, employees, volunteers, legal counsel, accountants, retained experts, or authorized committees. Reliance does not mean ignoring obvious gaps, inconsistencies, or warning signs.</w:t>
            </w:r>
          </w:p>
        </w:tc>
      </w:tr>
    </w:tbl>
    <w:p>
      <w:pPr>
        <w:spacing w:after="40"/>
      </w:pPr>
    </w:p>
    <w:p>
      <w:pPr>
        <w:pStyle w:val="Heading1"/>
      </w:pPr>
      <w:r>
        <w:t>Module 4 — Ethics and Conflicts of Interest</w:t>
      </w:r>
    </w:p>
    <w:p>
      <w:pPr>
        <w:pStyle w:val="Heading2"/>
      </w:pPr>
      <w:r>
        <w:t>Disclose early; manage openly</w:t>
      </w:r>
    </w:p>
    <w:p>
      <w:pPr>
        <w:spacing w:after="120" w:line="283" w:lineRule="auto"/>
      </w:pPr>
      <w:r>
        <w:rPr>
          <w:rFonts w:ascii="Aptos" w:hAnsi="Aptos"/>
          <w:b w:val="0"/>
          <w:i w:val="0"/>
          <w:color w:val="24313A"/>
          <w:sz w:val="22"/>
        </w:rPr>
        <w:t>A conflict is not automatically misconduct. The risk arises when an interest is hidden, minimized, or allowed to influence the process without appropriate safeguards.</w:t>
      </w:r>
    </w:p>
    <w:p>
      <w:pPr>
        <w:pStyle w:val="ListNumber"/>
        <w:spacing w:after="80" w:line="283" w:lineRule="auto"/>
      </w:pPr>
      <w:r>
        <w:rPr>
          <w:rFonts w:ascii="Aptos" w:hAnsi="Aptos"/>
          <w:b w:val="0"/>
          <w:i w:val="0"/>
          <w:color w:val="24313A"/>
          <w:sz w:val="22"/>
        </w:rPr>
        <w:t>Disclose the material facts as soon as the issue becomes known.</w:t>
      </w:r>
    </w:p>
    <w:p>
      <w:pPr>
        <w:pStyle w:val="ListNumber"/>
        <w:spacing w:after="80" w:line="283" w:lineRule="auto"/>
      </w:pPr>
      <w:r>
        <w:rPr>
          <w:rFonts w:ascii="Aptos" w:hAnsi="Aptos"/>
          <w:b w:val="0"/>
          <w:i w:val="0"/>
          <w:color w:val="24313A"/>
          <w:sz w:val="22"/>
        </w:rPr>
        <w:t>Allow disinterested members to determine the appropriate response under policy and law.</w:t>
      </w:r>
    </w:p>
    <w:p>
      <w:pPr>
        <w:pStyle w:val="ListNumber"/>
        <w:spacing w:after="80" w:line="283" w:lineRule="auto"/>
      </w:pPr>
      <w:r>
        <w:rPr>
          <w:rFonts w:ascii="Aptos" w:hAnsi="Aptos"/>
          <w:b w:val="0"/>
          <w:i w:val="0"/>
          <w:color w:val="24313A"/>
          <w:sz w:val="22"/>
        </w:rPr>
        <w:t>When directed, leave the discussion and do not vote; do not lobby members outside the meeting.</w:t>
      </w:r>
    </w:p>
    <w:p>
      <w:pPr>
        <w:pStyle w:val="ListNumber"/>
        <w:spacing w:after="80" w:line="283" w:lineRule="auto"/>
      </w:pPr>
      <w:r>
        <w:rPr>
          <w:rFonts w:ascii="Aptos" w:hAnsi="Aptos"/>
          <w:b w:val="0"/>
          <w:i w:val="0"/>
          <w:color w:val="24313A"/>
          <w:sz w:val="22"/>
        </w:rPr>
        <w:t>Document the disclosure, recusal or abstention, and action of disinterested directors in the minutes.</w:t>
      </w:r>
    </w:p>
    <w:p>
      <w:pPr>
        <w:pStyle w:val="ListNumber"/>
        <w:spacing w:after="80" w:line="283" w:lineRule="auto"/>
      </w:pPr>
      <w:r>
        <w:rPr>
          <w:rFonts w:ascii="Aptos" w:hAnsi="Aptos"/>
          <w:b w:val="0"/>
          <w:i w:val="0"/>
          <w:color w:val="24313A"/>
          <w:sz w:val="22"/>
        </w:rPr>
        <w:t>Update the annual disclosure whenever circumstances change.</w:t>
      </w:r>
    </w:p>
    <w:p>
      <w:pPr>
        <w:pStyle w:val="Heading2"/>
      </w:pPr>
      <w:r>
        <w:t>Common SKCDS examples</w:t>
      </w:r>
    </w:p>
    <w:p>
      <w:pPr>
        <w:pStyle w:val="ListBullet"/>
        <w:spacing w:after="80" w:line="283" w:lineRule="auto"/>
      </w:pPr>
      <w:r>
        <w:rPr>
          <w:rFonts w:ascii="Aptos" w:hAnsi="Aptos"/>
          <w:b w:val="0"/>
          <w:i w:val="0"/>
          <w:color w:val="24313A"/>
          <w:sz w:val="22"/>
        </w:rPr>
        <w:t>A member, family member, employer, or practice may benefit from a proposed contract or program.</w:t>
      </w:r>
    </w:p>
    <w:p>
      <w:pPr>
        <w:pStyle w:val="ListBullet"/>
        <w:spacing w:after="80" w:line="283" w:lineRule="auto"/>
      </w:pPr>
      <w:r>
        <w:rPr>
          <w:rFonts w:ascii="Aptos" w:hAnsi="Aptos"/>
          <w:b w:val="0"/>
          <w:i w:val="0"/>
          <w:color w:val="24313A"/>
          <w:sz w:val="22"/>
        </w:rPr>
        <w:t>A Council member has a leadership, ownership, referral, or financial relationship with a vendor, sponsor, partner, or competing organization.</w:t>
      </w:r>
    </w:p>
    <w:p>
      <w:pPr>
        <w:pStyle w:val="ListBullet"/>
        <w:spacing w:after="80" w:line="283" w:lineRule="auto"/>
      </w:pPr>
      <w:r>
        <w:rPr>
          <w:rFonts w:ascii="Aptos" w:hAnsi="Aptos"/>
          <w:b w:val="0"/>
          <w:i w:val="0"/>
          <w:color w:val="24313A"/>
          <w:sz w:val="22"/>
        </w:rPr>
        <w:t>A decision involves a colleague, committee member, applicant, or complainant with whom the member has a close relationship or active dispute.</w:t>
      </w:r>
    </w:p>
    <w:p>
      <w:pPr>
        <w:pStyle w:val="ListBullet"/>
        <w:spacing w:after="80" w:line="283" w:lineRule="auto"/>
      </w:pPr>
      <w:r>
        <w:rPr>
          <w:rFonts w:ascii="Aptos" w:hAnsi="Aptos"/>
          <w:b w:val="0"/>
          <w:i w:val="0"/>
          <w:color w:val="24313A"/>
          <w:sz w:val="22"/>
        </w:rPr>
        <w:t>Confidential SKCDS information could create a professional, financial, or competitive advantage.</w:t>
      </w:r>
    </w:p>
    <w:tbl>
      <w:tblPr>
        <w:tblW w:type="dxa" w:w="9360"/>
        <w:jc w:val="left"/>
        <w:tblLayout w:type="fixed"/>
        <w:tblLook w:firstColumn="1" w:firstRow="1" w:lastColumn="0" w:lastRow="0" w:noHBand="0" w:noVBand="1" w:val="04A0"/>
        <w:tblInd w:w="120" w:type="dxa"/>
      </w:tblPr>
      <w:tblGrid>
        <w:gridCol w:w="9360"/>
      </w:tblGrid>
      <w:tr>
        <w:trPr/>
        <w:tc>
          <w:tcPr>
            <w:tcW w:type="dxa" w:w="9360"/>
            <w:tcMar>
              <w:top w:w="100" w:type="dxa"/>
              <w:start w:w="120" w:type="dxa"/>
              <w:bottom w:w="100" w:type="dxa"/>
              <w:end w:w="120" w:type="dxa"/>
            </w:tcMar>
            <w:vAlign w:val="center"/>
            <w:shd w:fill="FFF5DB"/>
          </w:tcPr>
          <w:p>
            <w:pPr>
              <w:keepLines/>
              <w:spacing w:after="0"/>
            </w:pPr>
            <w:r>
              <w:rPr>
                <w:rFonts w:ascii="Aptos" w:hAnsi="Aptos"/>
                <w:b/>
                <w:i w:val="0"/>
                <w:color w:val="7A5A00"/>
                <w:sz w:val="22"/>
              </w:rPr>
              <w:t xml:space="preserve">WHEN IN DOUBT  </w:t>
            </w:r>
            <w:r>
              <w:rPr>
                <w:rFonts w:ascii="Aptos" w:hAnsi="Aptos"/>
                <w:b w:val="0"/>
                <w:i w:val="0"/>
                <w:color w:val="24313A"/>
                <w:sz w:val="22"/>
              </w:rPr>
              <w:t>Disclosure is usually the safer first step. A member should not decide alone that an interest is too minor to mention.</w:t>
            </w:r>
          </w:p>
        </w:tc>
      </w:tr>
    </w:tbl>
    <w:p>
      <w:pPr>
        <w:spacing w:after="40"/>
      </w:pPr>
    </w:p>
    <w:p>
      <w:r>
        <w:br w:type="page"/>
      </w:r>
    </w:p>
    <w:p>
      <w:pPr>
        <w:pStyle w:val="Heading1"/>
      </w:pPr>
      <w:r>
        <w:t>Module 5 — Effective Meetings and Decisions</w:t>
      </w:r>
    </w:p>
    <w:p>
      <w:pPr>
        <w:pStyle w:val="Heading2"/>
      </w:pPr>
      <w:r>
        <w:t>Before the meeting</w:t>
      </w:r>
    </w:p>
    <w:p>
      <w:pPr>
        <w:pStyle w:val="ListBullet"/>
        <w:spacing w:after="80" w:line="283" w:lineRule="auto"/>
      </w:pPr>
      <w:r>
        <w:rPr>
          <w:rFonts w:ascii="Aptos" w:hAnsi="Aptos"/>
          <w:b w:val="0"/>
          <w:i w:val="0"/>
          <w:color w:val="24313A"/>
          <w:sz w:val="22"/>
        </w:rPr>
        <w:t>Review the agenda and materials by the requested deadline.</w:t>
      </w:r>
    </w:p>
    <w:p>
      <w:pPr>
        <w:pStyle w:val="ListBullet"/>
        <w:spacing w:after="80" w:line="283" w:lineRule="auto"/>
      </w:pPr>
      <w:r>
        <w:rPr>
          <w:rFonts w:ascii="Aptos" w:hAnsi="Aptos"/>
          <w:b w:val="0"/>
          <w:i w:val="0"/>
          <w:color w:val="24313A"/>
          <w:sz w:val="22"/>
        </w:rPr>
        <w:t>Ask clarifying questions early when staff may need time to gather data, proposals, budgets, or legal guidance.</w:t>
      </w:r>
    </w:p>
    <w:p>
      <w:pPr>
        <w:pStyle w:val="ListBullet"/>
        <w:spacing w:after="80" w:line="283" w:lineRule="auto"/>
      </w:pPr>
      <w:r>
        <w:rPr>
          <w:rFonts w:ascii="Aptos" w:hAnsi="Aptos"/>
          <w:b w:val="0"/>
          <w:i w:val="0"/>
          <w:color w:val="24313A"/>
          <w:sz w:val="22"/>
        </w:rPr>
        <w:t>Identify conflicts and notify the President or Executive Director before discussion.</w:t>
      </w:r>
    </w:p>
    <w:p>
      <w:pPr>
        <w:pStyle w:val="ListBullet"/>
        <w:spacing w:after="80" w:line="283" w:lineRule="auto"/>
      </w:pPr>
      <w:r>
        <w:rPr>
          <w:rFonts w:ascii="Aptos" w:hAnsi="Aptos"/>
          <w:b w:val="0"/>
          <w:i w:val="0"/>
          <w:color w:val="24313A"/>
          <w:sz w:val="22"/>
        </w:rPr>
        <w:t>Understand whether each item is for information, discussion, direction, or formal action.</w:t>
      </w:r>
    </w:p>
    <w:p>
      <w:pPr>
        <w:pStyle w:val="Heading2"/>
      </w:pPr>
      <w:r>
        <w:t>During the meeting</w:t>
      </w:r>
    </w:p>
    <w:p>
      <w:pPr>
        <w:pStyle w:val="ListBullet"/>
        <w:spacing w:after="80" w:line="283" w:lineRule="auto"/>
      </w:pPr>
      <w:r>
        <w:rPr>
          <w:rFonts w:ascii="Aptos" w:hAnsi="Aptos"/>
          <w:b w:val="0"/>
          <w:i w:val="0"/>
          <w:color w:val="24313A"/>
          <w:sz w:val="22"/>
        </w:rPr>
        <w:t>Stay with the agenda, seek recognition, and address the issue rather than personalities.</w:t>
      </w:r>
    </w:p>
    <w:p>
      <w:pPr>
        <w:pStyle w:val="ListBullet"/>
        <w:spacing w:after="80" w:line="283" w:lineRule="auto"/>
      </w:pPr>
      <w:r>
        <w:rPr>
          <w:rFonts w:ascii="Aptos" w:hAnsi="Aptos"/>
          <w:b w:val="0"/>
          <w:i w:val="0"/>
          <w:color w:val="24313A"/>
          <w:sz w:val="22"/>
        </w:rPr>
        <w:t>Ask questions that improve the decision; avoid repeating points or reopening settled matters without new information.</w:t>
      </w:r>
    </w:p>
    <w:p>
      <w:pPr>
        <w:pStyle w:val="ListBullet"/>
        <w:spacing w:after="80" w:line="283" w:lineRule="auto"/>
      </w:pPr>
      <w:r>
        <w:rPr>
          <w:rFonts w:ascii="Aptos" w:hAnsi="Aptos"/>
          <w:b w:val="0"/>
          <w:i w:val="0"/>
          <w:color w:val="24313A"/>
          <w:sz w:val="22"/>
        </w:rPr>
        <w:t>State motions precisely, confirm amendments, and vote only when the group understands the proposal.</w:t>
      </w:r>
    </w:p>
    <w:p>
      <w:pPr>
        <w:pStyle w:val="ListBullet"/>
        <w:spacing w:after="80" w:line="283" w:lineRule="auto"/>
      </w:pPr>
      <w:r>
        <w:rPr>
          <w:rFonts w:ascii="Aptos" w:hAnsi="Aptos"/>
          <w:b w:val="0"/>
          <w:i w:val="0"/>
          <w:color w:val="24313A"/>
          <w:sz w:val="22"/>
        </w:rPr>
        <w:t>Protect confidential information and use executive or closed sessions only under an adopted, legally reviewed procedure.</w:t>
      </w:r>
    </w:p>
    <w:p>
      <w:pPr>
        <w:pStyle w:val="Heading2"/>
      </w:pPr>
      <w:r>
        <w:t>After the meeting</w:t>
      </w:r>
    </w:p>
    <w:p>
      <w:pPr>
        <w:pStyle w:val="ListBullet"/>
        <w:spacing w:after="80" w:line="283" w:lineRule="auto"/>
      </w:pPr>
      <w:r>
        <w:rPr>
          <w:rFonts w:ascii="Aptos" w:hAnsi="Aptos"/>
          <w:b w:val="0"/>
          <w:i w:val="0"/>
          <w:color w:val="24313A"/>
          <w:sz w:val="22"/>
        </w:rPr>
        <w:t>Support implementation of adopted decisions.</w:t>
      </w:r>
    </w:p>
    <w:p>
      <w:pPr>
        <w:pStyle w:val="ListBullet"/>
        <w:spacing w:after="80" w:line="283" w:lineRule="auto"/>
      </w:pPr>
      <w:r>
        <w:rPr>
          <w:rFonts w:ascii="Aptos" w:hAnsi="Aptos"/>
          <w:b w:val="0"/>
          <w:i w:val="0"/>
          <w:color w:val="24313A"/>
          <w:sz w:val="22"/>
        </w:rPr>
        <w:t>Complete assigned governance action items on time.</w:t>
      </w:r>
    </w:p>
    <w:p>
      <w:pPr>
        <w:pStyle w:val="ListBullet"/>
        <w:spacing w:after="80" w:line="283" w:lineRule="auto"/>
      </w:pPr>
      <w:r>
        <w:rPr>
          <w:rFonts w:ascii="Aptos" w:hAnsi="Aptos"/>
          <w:b w:val="0"/>
          <w:i w:val="0"/>
          <w:color w:val="24313A"/>
          <w:sz w:val="22"/>
        </w:rPr>
        <w:t>Review draft minutes for accuracy—not as a transcript or a second debate.</w:t>
      </w:r>
    </w:p>
    <w:p>
      <w:pPr>
        <w:pStyle w:val="ListBullet"/>
        <w:spacing w:after="80" w:line="283" w:lineRule="auto"/>
      </w:pPr>
      <w:r>
        <w:rPr>
          <w:rFonts w:ascii="Aptos" w:hAnsi="Aptos"/>
          <w:b w:val="0"/>
          <w:i w:val="0"/>
          <w:color w:val="24313A"/>
          <w:sz w:val="22"/>
        </w:rPr>
        <w:t>Refer operational questions to the Executive Director rather than directing staff individually.</w:t>
      </w:r>
    </w:p>
    <w:tbl>
      <w:tblPr>
        <w:tblW w:type="dxa" w:w="9360"/>
        <w:jc w:val="left"/>
        <w:tblLayout w:type="fixed"/>
        <w:tblLook w:firstColumn="1" w:firstRow="1" w:lastColumn="0" w:lastRow="0" w:noHBand="0" w:noVBand="1" w:val="04A0"/>
        <w:tblInd w:w="120" w:type="dxa"/>
      </w:tblPr>
      <w:tblGrid>
        <w:gridCol w:w="9360"/>
      </w:tblGrid>
      <w:tr>
        <w:trPr/>
        <w:tc>
          <w:tcPr>
            <w:tcW w:type="dxa" w:w="9360"/>
            <w:tcMar>
              <w:top w:w="100" w:type="dxa"/>
              <w:start w:w="120" w:type="dxa"/>
              <w:bottom w:w="100" w:type="dxa"/>
              <w:end w:w="120" w:type="dxa"/>
            </w:tcMar>
            <w:vAlign w:val="center"/>
            <w:shd w:fill="E8F1F6"/>
          </w:tcPr>
          <w:p>
            <w:pPr>
              <w:keepLines/>
              <w:spacing w:after="0"/>
            </w:pPr>
            <w:r>
              <w:rPr>
                <w:rFonts w:ascii="Aptos" w:hAnsi="Aptos"/>
                <w:b/>
                <w:i w:val="0"/>
                <w:color w:val="2878A8"/>
                <w:sz w:val="22"/>
              </w:rPr>
              <w:t xml:space="preserve">MEETING STANDARD  </w:t>
            </w:r>
            <w:r>
              <w:rPr>
                <w:rFonts w:ascii="Aptos" w:hAnsi="Aptos"/>
                <w:b w:val="0"/>
                <w:i w:val="0"/>
                <w:color w:val="24313A"/>
                <w:sz w:val="22"/>
              </w:rPr>
              <w:t>Healthy disagreement belongs in deliberation. Once the Council acts, members should not undermine the decision or staff implementation through side conversations, gossip, or conflicting instructions.</w:t>
            </w:r>
          </w:p>
        </w:tc>
      </w:tr>
    </w:tbl>
    <w:p>
      <w:pPr>
        <w:spacing w:after="40"/>
      </w:pPr>
    </w:p>
    <w:p>
      <w:pPr>
        <w:pStyle w:val="Heading2"/>
      </w:pPr>
      <w:r>
        <w:t>Closed-session discipline</w:t>
      </w:r>
    </w:p>
    <w:p>
      <w:pPr>
        <w:spacing w:after="120" w:line="283" w:lineRule="auto"/>
      </w:pPr>
      <w:r>
        <w:rPr>
          <w:rFonts w:ascii="Aptos" w:hAnsi="Aptos"/>
          <w:b w:val="0"/>
          <w:i w:val="0"/>
          <w:color w:val="24313A"/>
          <w:sz w:val="22"/>
        </w:rPr>
        <w:t>Because SKCDS is not a state agency, state executive-session categories are not automatically the governing rule. SKCDS should use its bylaws and an adopted closed-session policy. As a practical safeguard:</w:t>
      </w:r>
    </w:p>
    <w:p>
      <w:pPr>
        <w:pStyle w:val="ListBullet"/>
        <w:spacing w:after="80" w:line="283" w:lineRule="auto"/>
      </w:pPr>
      <w:r>
        <w:rPr>
          <w:rFonts w:ascii="Aptos" w:hAnsi="Aptos"/>
          <w:b w:val="0"/>
          <w:i w:val="0"/>
          <w:color w:val="24313A"/>
          <w:sz w:val="22"/>
        </w:rPr>
        <w:t>Use a closed session only for a defined confidential purpose—not simply because a topic is uncomfortable.</w:t>
      </w:r>
    </w:p>
    <w:p>
      <w:pPr>
        <w:pStyle w:val="ListBullet"/>
        <w:spacing w:after="80" w:line="283" w:lineRule="auto"/>
      </w:pPr>
      <w:r>
        <w:rPr>
          <w:rFonts w:ascii="Aptos" w:hAnsi="Aptos"/>
          <w:b w:val="0"/>
          <w:i w:val="0"/>
          <w:color w:val="24313A"/>
          <w:sz w:val="22"/>
        </w:rPr>
        <w:t>Limit attendance and materials to those necessary for the purpose.</w:t>
      </w:r>
    </w:p>
    <w:p>
      <w:pPr>
        <w:pStyle w:val="ListBullet"/>
        <w:spacing w:after="80" w:line="283" w:lineRule="auto"/>
      </w:pPr>
      <w:r>
        <w:rPr>
          <w:rFonts w:ascii="Aptos" w:hAnsi="Aptos"/>
          <w:b w:val="0"/>
          <w:i w:val="0"/>
          <w:color w:val="24313A"/>
          <w:sz w:val="22"/>
        </w:rPr>
        <w:t>Do not take formal action in closed session unless counsel confirms the process is authorized.</w:t>
      </w:r>
    </w:p>
    <w:p>
      <w:pPr>
        <w:pStyle w:val="ListBullet"/>
        <w:spacing w:after="80" w:line="283" w:lineRule="auto"/>
      </w:pPr>
      <w:r>
        <w:rPr>
          <w:rFonts w:ascii="Aptos" w:hAnsi="Aptos"/>
          <w:b w:val="0"/>
          <w:i w:val="0"/>
          <w:color w:val="24313A"/>
          <w:sz w:val="22"/>
        </w:rPr>
        <w:t>Return to the regular session for any required action and document it appropriately.</w:t>
      </w:r>
    </w:p>
    <w:p>
      <w:pPr>
        <w:pStyle w:val="ListBullet"/>
        <w:spacing w:after="80" w:line="283" w:lineRule="auto"/>
      </w:pPr>
      <w:r>
        <w:rPr>
          <w:rFonts w:ascii="Aptos" w:hAnsi="Aptos"/>
          <w:b w:val="0"/>
          <w:i w:val="0"/>
          <w:color w:val="24313A"/>
          <w:sz w:val="22"/>
        </w:rPr>
        <w:t>Do not share confidential discussion afterward, including with committee colleagues or family members.</w:t>
      </w:r>
    </w:p>
    <w:p>
      <w:pPr>
        <w:pStyle w:val="Heading1"/>
      </w:pPr>
      <w:r>
        <w:t>Module 6 — Financial Stewardship</w:t>
      </w:r>
    </w:p>
    <w:p>
      <w:pPr>
        <w:spacing w:after="120" w:line="283" w:lineRule="auto"/>
      </w:pPr>
      <w:r>
        <w:rPr>
          <w:rFonts w:ascii="Aptos" w:hAnsi="Aptos"/>
          <w:b w:val="0"/>
          <w:i w:val="0"/>
          <w:color w:val="24313A"/>
          <w:sz w:val="22"/>
        </w:rPr>
        <w:t>Financial oversight belongs to the full governing body, even when detailed review is assigned to the Treasurer, Budget &amp; Finance Committee, staff, or outside professionals.</w:t>
      </w:r>
    </w:p>
    <w:p>
      <w:pPr>
        <w:pStyle w:val="Heading2"/>
      </w:pPr>
      <w:r>
        <w:t>Questions every Council member should be able to ask</w:t>
      </w:r>
    </w:p>
    <w:p>
      <w:pPr>
        <w:pStyle w:val="ListBullet"/>
        <w:spacing w:after="80" w:line="283" w:lineRule="auto"/>
      </w:pPr>
      <w:r>
        <w:rPr>
          <w:rFonts w:ascii="Aptos" w:hAnsi="Aptos"/>
          <w:b w:val="0"/>
          <w:i w:val="0"/>
          <w:color w:val="24313A"/>
          <w:sz w:val="22"/>
        </w:rPr>
        <w:t>Are actual revenue and expenses tracking to budget, and why are there material variances?</w:t>
      </w:r>
    </w:p>
    <w:p>
      <w:pPr>
        <w:pStyle w:val="ListBullet"/>
        <w:spacing w:after="80" w:line="283" w:lineRule="auto"/>
      </w:pPr>
      <w:r>
        <w:rPr>
          <w:rFonts w:ascii="Aptos" w:hAnsi="Aptos"/>
          <w:b w:val="0"/>
          <w:i w:val="0"/>
          <w:color w:val="24313A"/>
          <w:sz w:val="22"/>
        </w:rPr>
        <w:t>Do cash flow, reserves, and restricted funds support current commitments?</w:t>
      </w:r>
    </w:p>
    <w:p>
      <w:pPr>
        <w:pStyle w:val="ListBullet"/>
        <w:spacing w:after="80" w:line="283" w:lineRule="auto"/>
      </w:pPr>
      <w:r>
        <w:rPr>
          <w:rFonts w:ascii="Aptos" w:hAnsi="Aptos"/>
          <w:b w:val="0"/>
          <w:i w:val="0"/>
          <w:color w:val="24313A"/>
          <w:sz w:val="22"/>
        </w:rPr>
        <w:t>Are bank reconciliations, approvals, and financial reports timely?</w:t>
      </w:r>
    </w:p>
    <w:p>
      <w:pPr>
        <w:pStyle w:val="ListBullet"/>
        <w:spacing w:after="80" w:line="283" w:lineRule="auto"/>
      </w:pPr>
      <w:r>
        <w:rPr>
          <w:rFonts w:ascii="Aptos" w:hAnsi="Aptos"/>
          <w:b w:val="0"/>
          <w:i w:val="0"/>
          <w:color w:val="24313A"/>
          <w:sz w:val="22"/>
        </w:rPr>
        <w:t>Are duties separated so that no one person controls authorization, payment entry, approval, and reconciliation?</w:t>
      </w:r>
    </w:p>
    <w:p>
      <w:pPr>
        <w:pStyle w:val="ListBullet"/>
        <w:spacing w:after="80" w:line="283" w:lineRule="auto"/>
      </w:pPr>
      <w:r>
        <w:rPr>
          <w:rFonts w:ascii="Aptos" w:hAnsi="Aptos"/>
          <w:b w:val="0"/>
          <w:i w:val="0"/>
          <w:color w:val="24313A"/>
          <w:sz w:val="22"/>
        </w:rPr>
        <w:t>Are significant contracts, compensation, reimbursements, and unusual transactions appropriately documented and authorized?</w:t>
      </w:r>
    </w:p>
    <w:p>
      <w:pPr>
        <w:pStyle w:val="ListBullet"/>
        <w:spacing w:after="80" w:line="283" w:lineRule="auto"/>
      </w:pPr>
      <w:r>
        <w:rPr>
          <w:rFonts w:ascii="Aptos" w:hAnsi="Aptos"/>
          <w:b w:val="0"/>
          <w:i w:val="0"/>
          <w:color w:val="24313A"/>
          <w:sz w:val="22"/>
        </w:rPr>
        <w:t>What financial, fraud, cybersecurity, or continuity risks require attention?</w:t>
      </w:r>
    </w:p>
    <w:tbl>
      <w:tblPr>
        <w:tblStyle w:val="TableGrid"/>
        <w:tblW w:type="dxa" w:w="9360"/>
        <w:jc w:val="left"/>
        <w:tblLayout w:type="fixed"/>
        <w:tblLook w:firstColumn="1" w:firstRow="1" w:lastColumn="0" w:lastRow="0" w:noHBand="0" w:noVBand="1" w:val="04A0"/>
        <w:tblInd w:w="120" w:type="dxa"/>
      </w:tblPr>
      <w:tblGrid>
        <w:gridCol w:w="2400"/>
        <w:gridCol w:w="6960"/>
      </w:tblGrid>
      <w:tr>
        <w:trPr>
          <w:tblHeader w:val="true"/>
        </w:trPr>
        <w:tc>
          <w:tcPr>
            <w:tcW w:type="dxa" w:w="2400"/>
            <w:tcMar>
              <w:top w:w="100" w:type="dxa"/>
              <w:start w:w="120" w:type="dxa"/>
              <w:bottom w:w="100" w:type="dxa"/>
              <w:end w:w="120" w:type="dxa"/>
            </w:tcMar>
            <w:vAlign w:val="center"/>
            <w:shd w:fill="123B5D"/>
          </w:tcPr>
          <w:p>
            <w:pPr>
              <w:keepLines/>
              <w:spacing w:after="0"/>
            </w:pPr>
            <w:r>
              <w:rPr>
                <w:rFonts w:ascii="Aptos" w:hAnsi="Aptos"/>
                <w:b/>
                <w:i w:val="0"/>
                <w:color w:val="FFFFFF"/>
                <w:sz w:val="19"/>
              </w:rPr>
              <w:t>Oversight level</w:t>
            </w:r>
          </w:p>
        </w:tc>
        <w:tc>
          <w:tcPr>
            <w:tcW w:type="dxa" w:w="6960"/>
            <w:tcMar>
              <w:top w:w="100" w:type="dxa"/>
              <w:start w:w="120" w:type="dxa"/>
              <w:bottom w:w="100" w:type="dxa"/>
              <w:end w:w="120" w:type="dxa"/>
            </w:tcMar>
            <w:vAlign w:val="center"/>
            <w:shd w:fill="123B5D"/>
          </w:tcPr>
          <w:p>
            <w:pPr>
              <w:keepLines/>
              <w:spacing w:after="0"/>
            </w:pPr>
            <w:r>
              <w:rPr>
                <w:rFonts w:ascii="Aptos" w:hAnsi="Aptos"/>
                <w:b/>
                <w:i w:val="0"/>
                <w:color w:val="FFFFFF"/>
                <w:sz w:val="19"/>
              </w:rPr>
              <w:t>Examples</w:t>
            </w:r>
          </w:p>
        </w:tc>
      </w:tr>
      <w:tr>
        <w:trPr/>
        <w:tc>
          <w:tcPr>
            <w:tcW w:type="dxa" w:w="24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Council</w:t>
            </w:r>
          </w:p>
        </w:tc>
        <w:tc>
          <w:tcPr>
            <w:tcW w:type="dxa" w:w="69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Approve budget; monitor performance; adopt controls; authorize major or exceptional commitments.</w:t>
            </w:r>
          </w:p>
        </w:tc>
      </w:tr>
      <w:tr>
        <w:trPr/>
        <w:tc>
          <w:tcPr>
            <w:tcW w:type="dxa" w:w="24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Treasurer / committee</w:t>
            </w:r>
          </w:p>
        </w:tc>
        <w:tc>
          <w:tcPr>
            <w:tcW w:type="dxa" w:w="696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Review statements and variances; test assumptions; report concerns and recommendations.</w:t>
            </w:r>
          </w:p>
        </w:tc>
      </w:tr>
      <w:tr>
        <w:trPr/>
        <w:tc>
          <w:tcPr>
            <w:tcW w:type="dxa" w:w="24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Executive Director / staff</w:t>
            </w:r>
          </w:p>
        </w:tc>
        <w:tc>
          <w:tcPr>
            <w:tcW w:type="dxa" w:w="69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Administer approved budget; maintain documentation; implement controls; report accurately.</w:t>
            </w:r>
          </w:p>
        </w:tc>
      </w:tr>
      <w:tr>
        <w:trPr/>
        <w:tc>
          <w:tcPr>
            <w:tcW w:type="dxa" w:w="24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Independent professionals</w:t>
            </w:r>
          </w:p>
        </w:tc>
        <w:tc>
          <w:tcPr>
            <w:tcW w:type="dxa" w:w="696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Provide accounting, tax, audit/review, legal, banking, investment, or insurance expertise.</w:t>
            </w:r>
          </w:p>
        </w:tc>
      </w:tr>
    </w:tbl>
    <w:p>
      <w:pPr>
        <w:spacing w:after="40"/>
      </w:pPr>
    </w:p>
    <w:tbl>
      <w:tblPr>
        <w:tblW w:type="dxa" w:w="9360"/>
        <w:jc w:val="left"/>
        <w:tblLayout w:type="fixed"/>
        <w:tblLook w:firstColumn="1" w:firstRow="1" w:lastColumn="0" w:lastRow="0" w:noHBand="0" w:noVBand="1" w:val="04A0"/>
        <w:tblInd w:w="120" w:type="dxa"/>
      </w:tblPr>
      <w:tblGrid>
        <w:gridCol w:w="9360"/>
      </w:tblGrid>
      <w:tr>
        <w:trPr/>
        <w:tc>
          <w:tcPr>
            <w:tcW w:type="dxa" w:w="9360"/>
            <w:tcMar>
              <w:top w:w="100" w:type="dxa"/>
              <w:start w:w="120" w:type="dxa"/>
              <w:bottom w:w="100" w:type="dxa"/>
              <w:end w:w="120" w:type="dxa"/>
            </w:tcMar>
            <w:vAlign w:val="center"/>
            <w:shd w:fill="E8F5F3"/>
          </w:tcPr>
          <w:p>
            <w:pPr>
              <w:keepLines/>
              <w:spacing w:after="0"/>
            </w:pPr>
            <w:r>
              <w:rPr>
                <w:rFonts w:ascii="Aptos" w:hAnsi="Aptos"/>
                <w:b/>
                <w:i w:val="0"/>
                <w:color w:val="3B9AA0"/>
                <w:sz w:val="22"/>
              </w:rPr>
              <w:t xml:space="preserve">CONTROL PRINCIPLE  </w:t>
            </w:r>
            <w:r>
              <w:rPr>
                <w:rFonts w:ascii="Aptos" w:hAnsi="Aptos"/>
                <w:b w:val="0"/>
                <w:i w:val="0"/>
                <w:color w:val="24313A"/>
                <w:sz w:val="22"/>
              </w:rPr>
              <w:t>Two-person processing protects the organization and the individuals involved. Payment entry, approval, documentation, and reconciliation should be appropriately separated.</w:t>
            </w:r>
          </w:p>
        </w:tc>
      </w:tr>
    </w:tbl>
    <w:p>
      <w:pPr>
        <w:spacing w:after="40"/>
      </w:pPr>
    </w:p>
    <w:p>
      <w:r>
        <w:br w:type="page"/>
      </w:r>
    </w:p>
    <w:p>
      <w:pPr>
        <w:pStyle w:val="Heading1"/>
      </w:pPr>
      <w:r>
        <w:t>Module 7 — Records, Confidentiality, and Information</w:t>
      </w:r>
    </w:p>
    <w:p>
      <w:pPr>
        <w:pStyle w:val="Heading2"/>
      </w:pPr>
      <w:r>
        <w:t>Corporate records</w:t>
      </w:r>
    </w:p>
    <w:p>
      <w:pPr>
        <w:spacing w:after="120" w:line="283" w:lineRule="auto"/>
      </w:pPr>
      <w:r>
        <w:rPr>
          <w:rFonts w:ascii="Aptos" w:hAnsi="Aptos"/>
          <w:b w:val="0"/>
          <w:i w:val="0"/>
          <w:color w:val="24313A"/>
          <w:sz w:val="22"/>
        </w:rPr>
        <w:t>Washington law requires nonprofit corporations to keep permanently the minutes of member and board meetings, records of unanimous written consents, and records of actions taken by board committees. Current governing documents and appropriate accounting and membership records must also be maintained.</w:t>
      </w:r>
    </w:p>
    <w:tbl>
      <w:tblPr>
        <w:tblStyle w:val="TableGrid"/>
        <w:tblW w:type="dxa" w:w="9360"/>
        <w:jc w:val="left"/>
        <w:tblLayout w:type="fixed"/>
        <w:tblLook w:firstColumn="1" w:firstRow="1" w:lastColumn="0" w:lastRow="0" w:noHBand="0" w:noVBand="1" w:val="04A0"/>
        <w:tblInd w:w="120" w:type="dxa"/>
      </w:tblPr>
      <w:tblGrid>
        <w:gridCol w:w="2600"/>
        <w:gridCol w:w="6760"/>
      </w:tblGrid>
      <w:tr>
        <w:trPr>
          <w:tblHeader w:val="true"/>
        </w:trPr>
        <w:tc>
          <w:tcPr>
            <w:tcW w:type="dxa" w:w="2600"/>
            <w:tcMar>
              <w:top w:w="100" w:type="dxa"/>
              <w:start w:w="120" w:type="dxa"/>
              <w:bottom w:w="100" w:type="dxa"/>
              <w:end w:w="120" w:type="dxa"/>
            </w:tcMar>
            <w:vAlign w:val="center"/>
            <w:shd w:fill="123B5D"/>
          </w:tcPr>
          <w:p>
            <w:pPr>
              <w:keepLines/>
              <w:spacing w:after="0"/>
            </w:pPr>
            <w:r>
              <w:rPr>
                <w:rFonts w:ascii="Aptos" w:hAnsi="Aptos"/>
                <w:b/>
                <w:i w:val="0"/>
                <w:color w:val="FFFFFF"/>
                <w:sz w:val="19"/>
              </w:rPr>
              <w:t>Record type</w:t>
            </w:r>
          </w:p>
        </w:tc>
        <w:tc>
          <w:tcPr>
            <w:tcW w:type="dxa" w:w="6760"/>
            <w:tcMar>
              <w:top w:w="100" w:type="dxa"/>
              <w:start w:w="120" w:type="dxa"/>
              <w:bottom w:w="100" w:type="dxa"/>
              <w:end w:w="120" w:type="dxa"/>
            </w:tcMar>
            <w:vAlign w:val="center"/>
            <w:shd w:fill="123B5D"/>
          </w:tcPr>
          <w:p>
            <w:pPr>
              <w:keepLines/>
              <w:spacing w:after="0"/>
            </w:pPr>
            <w:r>
              <w:rPr>
                <w:rFonts w:ascii="Aptos" w:hAnsi="Aptos"/>
                <w:b/>
                <w:i w:val="0"/>
                <w:color w:val="FFFFFF"/>
                <w:sz w:val="19"/>
              </w:rPr>
              <w:t>Council member practice</w:t>
            </w:r>
          </w:p>
        </w:tc>
      </w:tr>
      <w:tr>
        <w:trPr/>
        <w:tc>
          <w:tcPr>
            <w:tcW w:type="dxa" w:w="26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Minutes and consents</w:t>
            </w:r>
          </w:p>
        </w:tc>
        <w:tc>
          <w:tcPr>
            <w:tcW w:type="dxa" w:w="67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Use the official system; do not treat personal notes or text threads as substitutes.</w:t>
            </w:r>
          </w:p>
        </w:tc>
      </w:tr>
      <w:tr>
        <w:trPr/>
        <w:tc>
          <w:tcPr>
            <w:tcW w:type="dxa" w:w="26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Board packets</w:t>
            </w:r>
          </w:p>
        </w:tc>
        <w:tc>
          <w:tcPr>
            <w:tcW w:type="dxa" w:w="676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Use authorized accounts and storage; avoid forwarding to personal accounts.</w:t>
            </w:r>
          </w:p>
        </w:tc>
      </w:tr>
      <w:tr>
        <w:trPr/>
        <w:tc>
          <w:tcPr>
            <w:tcW w:type="dxa" w:w="26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Confidential matters</w:t>
            </w:r>
          </w:p>
        </w:tc>
        <w:tc>
          <w:tcPr>
            <w:tcW w:type="dxa" w:w="67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Access only as needed; do not download, copy, or retain more than necessary.</w:t>
            </w:r>
          </w:p>
        </w:tc>
      </w:tr>
      <w:tr>
        <w:trPr/>
        <w:tc>
          <w:tcPr>
            <w:tcW w:type="dxa" w:w="26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Member / employee data</w:t>
            </w:r>
          </w:p>
        </w:tc>
        <w:tc>
          <w:tcPr>
            <w:tcW w:type="dxa" w:w="676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Use only for authorized purposes; report misdirected or lost information immediately.</w:t>
            </w:r>
          </w:p>
        </w:tc>
      </w:tr>
      <w:tr>
        <w:trPr/>
        <w:tc>
          <w:tcPr>
            <w:tcW w:type="dxa" w:w="26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Email and messaging</w:t>
            </w:r>
          </w:p>
        </w:tc>
        <w:tc>
          <w:tcPr>
            <w:tcW w:type="dxa" w:w="67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Assume business communications may need to be preserved for legal, audit, insurance, or governance purposes.</w:t>
            </w:r>
          </w:p>
        </w:tc>
      </w:tr>
    </w:tbl>
    <w:p>
      <w:pPr>
        <w:spacing w:after="40"/>
      </w:pPr>
    </w:p>
    <w:p>
      <w:pPr>
        <w:pStyle w:val="Heading2"/>
      </w:pPr>
      <w:r>
        <w:t>Confidentiality does not mean secrecy</w:t>
      </w:r>
    </w:p>
    <w:p>
      <w:pPr>
        <w:spacing w:after="120" w:line="283" w:lineRule="auto"/>
      </w:pPr>
      <w:r>
        <w:rPr>
          <w:rFonts w:ascii="Aptos" w:hAnsi="Aptos"/>
          <w:b w:val="0"/>
          <w:i w:val="0"/>
          <w:color w:val="24313A"/>
          <w:sz w:val="22"/>
        </w:rPr>
        <w:t>The Council should protect legitimate confidential information while maintaining appropriate transparency with members. A confidentiality label should have a clear purpose, limited audience, and defined handling expectations.</w:t>
      </w:r>
    </w:p>
    <w:tbl>
      <w:tblPr>
        <w:tblW w:type="dxa" w:w="9360"/>
        <w:jc w:val="left"/>
        <w:tblLayout w:type="fixed"/>
        <w:tblLook w:firstColumn="1" w:firstRow="1" w:lastColumn="0" w:lastRow="0" w:noHBand="0" w:noVBand="1" w:val="04A0"/>
        <w:tblInd w:w="120" w:type="dxa"/>
      </w:tblPr>
      <w:tblGrid>
        <w:gridCol w:w="9360"/>
      </w:tblGrid>
      <w:tr>
        <w:trPr/>
        <w:tc>
          <w:tcPr>
            <w:tcW w:type="dxa" w:w="9360"/>
            <w:tcMar>
              <w:top w:w="100" w:type="dxa"/>
              <w:start w:w="120" w:type="dxa"/>
              <w:bottom w:w="100" w:type="dxa"/>
              <w:end w:w="120" w:type="dxa"/>
            </w:tcMar>
            <w:vAlign w:val="center"/>
            <w:shd w:fill="FFF5DB"/>
          </w:tcPr>
          <w:p>
            <w:pPr>
              <w:keepLines/>
              <w:spacing w:after="0"/>
            </w:pPr>
            <w:r>
              <w:rPr>
                <w:rFonts w:ascii="Aptos" w:hAnsi="Aptos"/>
                <w:b/>
                <w:i w:val="0"/>
                <w:color w:val="7A5A00"/>
                <w:sz w:val="22"/>
              </w:rPr>
              <w:t xml:space="preserve">REPORT PROMPTLY  </w:t>
            </w:r>
            <w:r>
              <w:rPr>
                <w:rFonts w:ascii="Aptos" w:hAnsi="Aptos"/>
                <w:b w:val="0"/>
                <w:i w:val="0"/>
                <w:color w:val="24313A"/>
                <w:sz w:val="22"/>
              </w:rPr>
              <w:t>Immediately notify the Executive Director or designated contact of a lost device, misdirected email, suspicious link, compromised account, unauthorized disclosure, or records request. Do not investigate or respond independently.</w:t>
            </w:r>
          </w:p>
        </w:tc>
      </w:tr>
    </w:tbl>
    <w:p>
      <w:pPr>
        <w:spacing w:after="40"/>
      </w:pPr>
    </w:p>
    <w:p>
      <w:pPr>
        <w:pStyle w:val="Heading1"/>
      </w:pPr>
      <w:r>
        <w:t>Module 8 — Board–Staff Partnership</w:t>
      </w:r>
    </w:p>
    <w:p>
      <w:pPr>
        <w:pStyle w:val="Heading2"/>
      </w:pPr>
      <w:r>
        <w:t>One Executive Council; one chief executive relationship</w:t>
      </w:r>
    </w:p>
    <w:p>
      <w:pPr>
        <w:spacing w:after="120" w:line="283" w:lineRule="auto"/>
      </w:pPr>
      <w:r>
        <w:rPr>
          <w:rFonts w:ascii="Aptos" w:hAnsi="Aptos"/>
          <w:b w:val="0"/>
          <w:i w:val="0"/>
          <w:color w:val="24313A"/>
          <w:sz w:val="22"/>
        </w:rPr>
        <w:t>The Executive Council provides collective direction to the Executive Director through adopted priorities, policy, budget, goals, and evaluation. The Executive Director manages staff and operations. Individual Council members should not assign tasks, alter staff priorities, approve overtime, negotiate vendor terms, or conduct employee performance discussions unless formally authorized.</w:t>
      </w:r>
    </w:p>
    <w:tbl>
      <w:tblPr>
        <w:tblStyle w:val="TableGrid"/>
        <w:tblW w:type="dxa" w:w="9360"/>
        <w:jc w:val="left"/>
        <w:tblLayout w:type="fixed"/>
        <w:tblLook w:firstColumn="1" w:firstRow="1" w:lastColumn="0" w:lastRow="0" w:noHBand="0" w:noVBand="1" w:val="04A0"/>
        <w:tblInd w:w="120" w:type="dxa"/>
      </w:tblPr>
      <w:tblGrid>
        <w:gridCol w:w="4680"/>
        <w:gridCol w:w="4680"/>
      </w:tblGrid>
      <w:tr>
        <w:trPr>
          <w:tblHeader w:val="true"/>
        </w:trPr>
        <w:tc>
          <w:tcPr>
            <w:tcW w:type="dxa" w:w="4680"/>
            <w:tcMar>
              <w:top w:w="100" w:type="dxa"/>
              <w:start w:w="120" w:type="dxa"/>
              <w:bottom w:w="100" w:type="dxa"/>
              <w:end w:w="120" w:type="dxa"/>
            </w:tcMar>
            <w:vAlign w:val="center"/>
            <w:shd w:fill="123B5D"/>
          </w:tcPr>
          <w:p>
            <w:pPr>
              <w:keepLines/>
              <w:spacing w:after="0"/>
            </w:pPr>
            <w:r>
              <w:rPr>
                <w:rFonts w:ascii="Aptos" w:hAnsi="Aptos"/>
                <w:b/>
                <w:i w:val="0"/>
                <w:color w:val="FFFFFF"/>
                <w:sz w:val="19"/>
              </w:rPr>
              <w:t>Council member should</w:t>
            </w:r>
          </w:p>
        </w:tc>
        <w:tc>
          <w:tcPr>
            <w:tcW w:type="dxa" w:w="4680"/>
            <w:tcMar>
              <w:top w:w="100" w:type="dxa"/>
              <w:start w:w="120" w:type="dxa"/>
              <w:bottom w:w="100" w:type="dxa"/>
              <w:end w:w="120" w:type="dxa"/>
            </w:tcMar>
            <w:vAlign w:val="center"/>
            <w:shd w:fill="123B5D"/>
          </w:tcPr>
          <w:p>
            <w:pPr>
              <w:keepLines/>
              <w:spacing w:after="0"/>
            </w:pPr>
            <w:r>
              <w:rPr>
                <w:rFonts w:ascii="Aptos" w:hAnsi="Aptos"/>
                <w:b/>
                <w:i w:val="0"/>
                <w:color w:val="FFFFFF"/>
                <w:sz w:val="19"/>
              </w:rPr>
              <w:t>Council member should avoid</w:t>
            </w:r>
          </w:p>
        </w:tc>
      </w:tr>
      <w:tr>
        <w:trPr/>
        <w:tc>
          <w:tcPr>
            <w:tcW w:type="dxa" w:w="468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Route requests through the President and/or Executive Director.</w:t>
            </w:r>
          </w:p>
        </w:tc>
        <w:tc>
          <w:tcPr>
            <w:tcW w:type="dxa" w:w="468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Giving work directly to an employee or contractor.</w:t>
            </w:r>
          </w:p>
        </w:tc>
      </w:tr>
      <w:tr>
        <w:trPr/>
        <w:tc>
          <w:tcPr>
            <w:tcW w:type="dxa" w:w="468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Provide clear outcomes, priorities, deadlines, and authority.</w:t>
            </w:r>
          </w:p>
        </w:tc>
        <w:tc>
          <w:tcPr>
            <w:tcW w:type="dxa" w:w="468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Prescribing every implementation detail without operational context.</w:t>
            </w:r>
          </w:p>
        </w:tc>
      </w:tr>
      <w:tr>
        <w:trPr/>
        <w:tc>
          <w:tcPr>
            <w:tcW w:type="dxa" w:w="468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Ask what capacity, cost, risk, or tradeoff a request creates.</w:t>
            </w:r>
          </w:p>
        </w:tc>
        <w:tc>
          <w:tcPr>
            <w:tcW w:type="dxa" w:w="468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Assuming an apparently small request has no workload impact.</w:t>
            </w:r>
          </w:p>
        </w:tc>
      </w:tr>
      <w:tr>
        <w:trPr/>
        <w:tc>
          <w:tcPr>
            <w:tcW w:type="dxa" w:w="468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Evaluate the Executive Director against agreed goals and expectations.</w:t>
            </w:r>
          </w:p>
        </w:tc>
        <w:tc>
          <w:tcPr>
            <w:tcW w:type="dxa" w:w="468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Informally evaluating or correcting individual staff members.</w:t>
            </w:r>
          </w:p>
        </w:tc>
      </w:tr>
    </w:tbl>
    <w:p>
      <w:pPr>
        <w:spacing w:after="40"/>
      </w:pPr>
    </w:p>
    <w:p>
      <w:pPr>
        <w:pStyle w:val="Heading2"/>
      </w:pPr>
      <w:r>
        <w:t>When concerns arise</w:t>
      </w:r>
    </w:p>
    <w:p>
      <w:pPr>
        <w:pStyle w:val="ListNumber"/>
        <w:spacing w:after="80" w:line="283" w:lineRule="auto"/>
      </w:pPr>
      <w:r>
        <w:rPr>
          <w:rFonts w:ascii="Aptos" w:hAnsi="Aptos"/>
          <w:b w:val="0"/>
          <w:i w:val="0"/>
          <w:color w:val="24313A"/>
          <w:sz w:val="22"/>
        </w:rPr>
        <w:t>Clarify the facts and distinguish governance, performance, conduct, and interpersonal issues.</w:t>
      </w:r>
    </w:p>
    <w:p>
      <w:pPr>
        <w:pStyle w:val="ListNumber"/>
        <w:spacing w:after="80" w:line="283" w:lineRule="auto"/>
      </w:pPr>
      <w:r>
        <w:rPr>
          <w:rFonts w:ascii="Aptos" w:hAnsi="Aptos"/>
          <w:b w:val="0"/>
          <w:i w:val="0"/>
          <w:color w:val="24313A"/>
          <w:sz w:val="22"/>
        </w:rPr>
        <w:t>Use the designated reporting route; avoid gossip or coalition-building.</w:t>
      </w:r>
    </w:p>
    <w:p>
      <w:pPr>
        <w:pStyle w:val="ListNumber"/>
        <w:spacing w:after="80" w:line="283" w:lineRule="auto"/>
      </w:pPr>
      <w:r>
        <w:rPr>
          <w:rFonts w:ascii="Aptos" w:hAnsi="Aptos"/>
          <w:b w:val="0"/>
          <w:i w:val="0"/>
          <w:color w:val="24313A"/>
          <w:sz w:val="22"/>
        </w:rPr>
        <w:t>Protect confidentiality and avoid retaliation.</w:t>
      </w:r>
    </w:p>
    <w:p>
      <w:pPr>
        <w:pStyle w:val="ListNumber"/>
        <w:spacing w:after="80" w:line="283" w:lineRule="auto"/>
      </w:pPr>
      <w:r>
        <w:rPr>
          <w:rFonts w:ascii="Aptos" w:hAnsi="Aptos"/>
          <w:b w:val="0"/>
          <w:i w:val="0"/>
          <w:color w:val="24313A"/>
          <w:sz w:val="22"/>
        </w:rPr>
        <w:t>Document formal concerns and requested outcomes appropriately.</w:t>
      </w:r>
    </w:p>
    <w:p>
      <w:pPr>
        <w:pStyle w:val="ListNumber"/>
        <w:spacing w:after="80" w:line="283" w:lineRule="auto"/>
      </w:pPr>
      <w:r>
        <w:rPr>
          <w:rFonts w:ascii="Aptos" w:hAnsi="Aptos"/>
          <w:b w:val="0"/>
          <w:i w:val="0"/>
          <w:color w:val="24313A"/>
          <w:sz w:val="22"/>
        </w:rPr>
        <w:t>Use counsel, HR, insurance, or another qualified resource when the issue exceeds internal expertise.</w:t>
      </w:r>
    </w:p>
    <w:p>
      <w:r>
        <w:br w:type="page"/>
      </w:r>
    </w:p>
    <w:p>
      <w:pPr>
        <w:pStyle w:val="Heading1"/>
      </w:pPr>
      <w:r>
        <w:t>Module 9 — Inclusive and Respectful Leadership</w:t>
      </w:r>
    </w:p>
    <w:p>
      <w:pPr>
        <w:spacing w:after="120" w:line="283" w:lineRule="auto"/>
      </w:pPr>
      <w:r>
        <w:rPr>
          <w:rFonts w:ascii="Aptos" w:hAnsi="Aptos"/>
          <w:b w:val="0"/>
          <w:i w:val="0"/>
          <w:color w:val="24313A"/>
          <w:sz w:val="22"/>
        </w:rPr>
        <w:t>Effective governance depends on people being able to contribute, question, disagree, and raise concerns without exclusion or retaliation. Inclusive leadership is both a cultural responsibility and a decision-quality practice.</w:t>
      </w:r>
    </w:p>
    <w:p>
      <w:pPr>
        <w:pStyle w:val="Heading2"/>
      </w:pPr>
      <w:r>
        <w:t>Council conduct standards</w:t>
      </w:r>
    </w:p>
    <w:p>
      <w:pPr>
        <w:pStyle w:val="ListBullet"/>
        <w:spacing w:after="80" w:line="283" w:lineRule="auto"/>
      </w:pPr>
      <w:r>
        <w:rPr>
          <w:rFonts w:ascii="Aptos" w:hAnsi="Aptos"/>
          <w:b w:val="0"/>
          <w:i w:val="0"/>
          <w:color w:val="24313A"/>
          <w:sz w:val="22"/>
        </w:rPr>
        <w:t>Listen for understanding and invite participation from members who have not spoken.</w:t>
      </w:r>
    </w:p>
    <w:p>
      <w:pPr>
        <w:pStyle w:val="ListBullet"/>
        <w:spacing w:after="80" w:line="283" w:lineRule="auto"/>
      </w:pPr>
      <w:r>
        <w:rPr>
          <w:rFonts w:ascii="Aptos" w:hAnsi="Aptos"/>
          <w:b w:val="0"/>
          <w:i w:val="0"/>
          <w:color w:val="24313A"/>
          <w:sz w:val="22"/>
        </w:rPr>
        <w:t>Separate critique of an idea from judgment of a person’s motives or competence.</w:t>
      </w:r>
    </w:p>
    <w:p>
      <w:pPr>
        <w:pStyle w:val="ListBullet"/>
        <w:spacing w:after="80" w:line="283" w:lineRule="auto"/>
      </w:pPr>
      <w:r>
        <w:rPr>
          <w:rFonts w:ascii="Aptos" w:hAnsi="Aptos"/>
          <w:b w:val="0"/>
          <w:i w:val="0"/>
          <w:color w:val="24313A"/>
          <w:sz w:val="22"/>
        </w:rPr>
        <w:t>Avoid gossip, side conversations, sarcasm, dismissive behavior, and discussion of absent individuals outside an authorized purpose.</w:t>
      </w:r>
    </w:p>
    <w:p>
      <w:pPr>
        <w:pStyle w:val="ListBullet"/>
        <w:spacing w:after="80" w:line="283" w:lineRule="auto"/>
      </w:pPr>
      <w:r>
        <w:rPr>
          <w:rFonts w:ascii="Aptos" w:hAnsi="Aptos"/>
          <w:b w:val="0"/>
          <w:i w:val="0"/>
          <w:color w:val="24313A"/>
          <w:sz w:val="22"/>
        </w:rPr>
        <w:t>Identify assumptions, missing perspectives, and who may be affected but not represented in the room.</w:t>
      </w:r>
    </w:p>
    <w:p>
      <w:pPr>
        <w:pStyle w:val="ListBullet"/>
        <w:spacing w:after="80" w:line="283" w:lineRule="auto"/>
      </w:pPr>
      <w:r>
        <w:rPr>
          <w:rFonts w:ascii="Aptos" w:hAnsi="Aptos"/>
          <w:b w:val="0"/>
          <w:i w:val="0"/>
          <w:color w:val="24313A"/>
          <w:sz w:val="22"/>
        </w:rPr>
        <w:t>Address harmful conduct promptly and through the proper process.</w:t>
      </w:r>
    </w:p>
    <w:p>
      <w:pPr>
        <w:pStyle w:val="ListBullet"/>
        <w:spacing w:after="80" w:line="283" w:lineRule="auto"/>
      </w:pPr>
      <w:r>
        <w:rPr>
          <w:rFonts w:ascii="Aptos" w:hAnsi="Aptos"/>
          <w:b w:val="0"/>
          <w:i w:val="0"/>
          <w:color w:val="24313A"/>
          <w:sz w:val="22"/>
        </w:rPr>
        <w:t>Maintain professional boundaries with staff, volunteers, members, speakers, vendors, and partners.</w:t>
      </w:r>
    </w:p>
    <w:tbl>
      <w:tblPr>
        <w:tblW w:type="dxa" w:w="9360"/>
        <w:jc w:val="left"/>
        <w:tblLayout w:type="fixed"/>
        <w:tblLook w:firstColumn="1" w:firstRow="1" w:lastColumn="0" w:lastRow="0" w:noHBand="0" w:noVBand="1" w:val="04A0"/>
        <w:tblInd w:w="120" w:type="dxa"/>
      </w:tblPr>
      <w:tblGrid>
        <w:gridCol w:w="9360"/>
      </w:tblGrid>
      <w:tr>
        <w:trPr/>
        <w:tc>
          <w:tcPr>
            <w:tcW w:type="dxa" w:w="9360"/>
            <w:tcMar>
              <w:top w:w="100" w:type="dxa"/>
              <w:start w:w="120" w:type="dxa"/>
              <w:bottom w:w="100" w:type="dxa"/>
              <w:end w:w="120" w:type="dxa"/>
            </w:tcMar>
            <w:vAlign w:val="center"/>
            <w:shd w:fill="E8F5F3"/>
          </w:tcPr>
          <w:p>
            <w:pPr>
              <w:keepLines/>
              <w:spacing w:after="0"/>
            </w:pPr>
            <w:r>
              <w:rPr>
                <w:rFonts w:ascii="Aptos" w:hAnsi="Aptos"/>
                <w:b/>
                <w:i w:val="0"/>
                <w:color w:val="3B9AA0"/>
                <w:sz w:val="22"/>
              </w:rPr>
              <w:t xml:space="preserve">DECISION CHECK  </w:t>
            </w:r>
            <w:r>
              <w:rPr>
                <w:rFonts w:ascii="Aptos" w:hAnsi="Aptos"/>
                <w:b w:val="0"/>
                <w:i w:val="0"/>
                <w:color w:val="24313A"/>
                <w:sz w:val="22"/>
              </w:rPr>
              <w:t>Whose experience is informing this decision? Who may be affected? What evidence is missing? What barrier or unintended consequence could we be creating?</w:t>
            </w:r>
          </w:p>
        </w:tc>
      </w:tr>
    </w:tbl>
    <w:p>
      <w:pPr>
        <w:spacing w:after="40"/>
      </w:pPr>
    </w:p>
    <w:p>
      <w:pPr>
        <w:pStyle w:val="Heading1"/>
      </w:pPr>
      <w:r>
        <w:t>Module 10 — Risk, Compliance, and Public Trust</w:t>
      </w:r>
    </w:p>
    <w:p>
      <w:pPr>
        <w:pStyle w:val="Heading2"/>
      </w:pPr>
      <w:r>
        <w:t>Oversight—not solo response</w:t>
      </w:r>
    </w:p>
    <w:p>
      <w:pPr>
        <w:spacing w:after="120" w:line="283" w:lineRule="auto"/>
      </w:pPr>
      <w:r>
        <w:rPr>
          <w:rFonts w:ascii="Aptos" w:hAnsi="Aptos"/>
          <w:b w:val="0"/>
          <w:i w:val="0"/>
          <w:color w:val="24313A"/>
          <w:sz w:val="22"/>
        </w:rPr>
        <w:t>The Council oversees whether SKCDS has reasonable systems for legal compliance, safety, employment practices, insurance, cybersecurity, financial controls, accreditation, member data, contracts, and crisis response. Individual members should not investigate, negotiate, publish, or respond on behalf of SKCDS unless authorized.</w:t>
      </w:r>
    </w:p>
    <w:tbl>
      <w:tblPr>
        <w:tblStyle w:val="TableGrid"/>
        <w:tblW w:type="dxa" w:w="9360"/>
        <w:jc w:val="left"/>
        <w:tblLayout w:type="fixed"/>
        <w:tblLook w:firstColumn="1" w:firstRow="1" w:lastColumn="0" w:lastRow="0" w:noHBand="0" w:noVBand="1" w:val="04A0"/>
        <w:tblInd w:w="120" w:type="dxa"/>
      </w:tblPr>
      <w:tblGrid>
        <w:gridCol w:w="3300"/>
        <w:gridCol w:w="6060"/>
      </w:tblGrid>
      <w:tr>
        <w:trPr>
          <w:tblHeader w:val="true"/>
        </w:trPr>
        <w:tc>
          <w:tcPr>
            <w:tcW w:type="dxa" w:w="3300"/>
            <w:tcMar>
              <w:top w:w="100" w:type="dxa"/>
              <w:start w:w="120" w:type="dxa"/>
              <w:bottom w:w="100" w:type="dxa"/>
              <w:end w:w="120" w:type="dxa"/>
            </w:tcMar>
            <w:vAlign w:val="center"/>
            <w:shd w:fill="123B5D"/>
          </w:tcPr>
          <w:p>
            <w:pPr>
              <w:keepLines/>
              <w:spacing w:after="0"/>
            </w:pPr>
            <w:r>
              <w:rPr>
                <w:rFonts w:ascii="Aptos" w:hAnsi="Aptos"/>
                <w:b/>
                <w:i w:val="0"/>
                <w:color w:val="FFFFFF"/>
                <w:sz w:val="19"/>
              </w:rPr>
              <w:t>Situation</w:t>
            </w:r>
          </w:p>
        </w:tc>
        <w:tc>
          <w:tcPr>
            <w:tcW w:type="dxa" w:w="6060"/>
            <w:tcMar>
              <w:top w:w="100" w:type="dxa"/>
              <w:start w:w="120" w:type="dxa"/>
              <w:bottom w:w="100" w:type="dxa"/>
              <w:end w:w="120" w:type="dxa"/>
            </w:tcMar>
            <w:vAlign w:val="center"/>
            <w:shd w:fill="123B5D"/>
          </w:tcPr>
          <w:p>
            <w:pPr>
              <w:keepLines/>
              <w:spacing w:after="0"/>
            </w:pPr>
            <w:r>
              <w:rPr>
                <w:rFonts w:ascii="Aptos" w:hAnsi="Aptos"/>
                <w:b/>
                <w:i w:val="0"/>
                <w:color w:val="FFFFFF"/>
                <w:sz w:val="19"/>
              </w:rPr>
              <w:t>Immediate Council member response</w:t>
            </w:r>
          </w:p>
        </w:tc>
      </w:tr>
      <w:tr>
        <w:trPr/>
        <w:tc>
          <w:tcPr>
            <w:tcW w:type="dxa" w:w="33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Legal threat, subpoena, regulator contact</w:t>
            </w:r>
          </w:p>
        </w:tc>
        <w:tc>
          <w:tcPr>
            <w:tcW w:type="dxa" w:w="60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Preserve information; notify authorized leadership; do not respond substantively.</w:t>
            </w:r>
          </w:p>
        </w:tc>
      </w:tr>
      <w:tr>
        <w:trPr/>
        <w:tc>
          <w:tcPr>
            <w:tcW w:type="dxa" w:w="33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Media or social-media inquiry</w:t>
            </w:r>
          </w:p>
        </w:tc>
        <w:tc>
          <w:tcPr>
            <w:tcW w:type="dxa" w:w="606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Refer to the designated spokesperson; do not speculate or speak for SKCDS.</w:t>
            </w:r>
          </w:p>
        </w:tc>
      </w:tr>
      <w:tr>
        <w:trPr/>
        <w:tc>
          <w:tcPr>
            <w:tcW w:type="dxa" w:w="33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Suspected fraud or misuse</w:t>
            </w:r>
          </w:p>
        </w:tc>
        <w:tc>
          <w:tcPr>
            <w:tcW w:type="dxa" w:w="60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Use the reporting policy; protect evidence; avoid confronting subjects independently.</w:t>
            </w:r>
          </w:p>
        </w:tc>
      </w:tr>
      <w:tr>
        <w:trPr/>
        <w:tc>
          <w:tcPr>
            <w:tcW w:type="dxa" w:w="33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Safety or harassment concern</w:t>
            </w:r>
          </w:p>
        </w:tc>
        <w:tc>
          <w:tcPr>
            <w:tcW w:type="dxa" w:w="606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Prioritize immediate safety, then follow the reporting and response process.</w:t>
            </w:r>
          </w:p>
        </w:tc>
      </w:tr>
      <w:tr>
        <w:trPr/>
        <w:tc>
          <w:tcPr>
            <w:tcW w:type="dxa" w:w="33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Cybersecurity incident</w:t>
            </w:r>
          </w:p>
        </w:tc>
        <w:tc>
          <w:tcPr>
            <w:tcW w:type="dxa" w:w="60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Disconnect or secure affected access as instructed and report immediately; do not delete evidence.</w:t>
            </w:r>
          </w:p>
        </w:tc>
      </w:tr>
    </w:tbl>
    <w:p>
      <w:pPr>
        <w:spacing w:after="40"/>
      </w:pPr>
    </w:p>
    <w:p>
      <w:pPr>
        <w:pStyle w:val="Heading2"/>
      </w:pPr>
      <w:r>
        <w:t>Speaking about SKCDS</w:t>
      </w:r>
    </w:p>
    <w:p>
      <w:pPr>
        <w:pStyle w:val="ListBullet"/>
        <w:spacing w:after="80" w:line="283" w:lineRule="auto"/>
      </w:pPr>
      <w:r>
        <w:rPr>
          <w:rFonts w:ascii="Aptos" w:hAnsi="Aptos"/>
          <w:b w:val="0"/>
          <w:i w:val="0"/>
          <w:color w:val="24313A"/>
          <w:sz w:val="22"/>
        </w:rPr>
        <w:t>Know whether you are speaking personally or as an authorized representative.</w:t>
      </w:r>
    </w:p>
    <w:p>
      <w:pPr>
        <w:pStyle w:val="ListBullet"/>
        <w:spacing w:after="80" w:line="283" w:lineRule="auto"/>
      </w:pPr>
      <w:r>
        <w:rPr>
          <w:rFonts w:ascii="Aptos" w:hAnsi="Aptos"/>
          <w:b w:val="0"/>
          <w:i w:val="0"/>
          <w:color w:val="24313A"/>
          <w:sz w:val="22"/>
        </w:rPr>
        <w:t>Use approved organizational positions and messages.</w:t>
      </w:r>
    </w:p>
    <w:p>
      <w:pPr>
        <w:pStyle w:val="ListBullet"/>
        <w:spacing w:after="80" w:line="283" w:lineRule="auto"/>
      </w:pPr>
      <w:r>
        <w:rPr>
          <w:rFonts w:ascii="Aptos" w:hAnsi="Aptos"/>
          <w:b w:val="0"/>
          <w:i w:val="0"/>
          <w:color w:val="24313A"/>
          <w:sz w:val="22"/>
        </w:rPr>
        <w:t>Do not disclose privileged, personnel, peer-review, member, vendor, or strategic information.</w:t>
      </w:r>
    </w:p>
    <w:p>
      <w:pPr>
        <w:pStyle w:val="ListBullet"/>
        <w:spacing w:after="80" w:line="283" w:lineRule="auto"/>
      </w:pPr>
      <w:r>
        <w:rPr>
          <w:rFonts w:ascii="Aptos" w:hAnsi="Aptos"/>
          <w:b w:val="0"/>
          <w:i w:val="0"/>
          <w:color w:val="24313A"/>
          <w:sz w:val="22"/>
        </w:rPr>
        <w:t>Correct material misinformation through the designated communication process.</w:t>
      </w:r>
    </w:p>
    <w:p>
      <w:r>
        <w:br w:type="page"/>
      </w:r>
    </w:p>
    <w:p>
      <w:pPr>
        <w:pStyle w:val="Heading1"/>
      </w:pPr>
      <w:r>
        <w:t>Annual Executive Council Training Plan</w:t>
      </w:r>
    </w:p>
    <w:tbl>
      <w:tblPr>
        <w:tblStyle w:val="TableGrid"/>
        <w:tblW w:type="dxa" w:w="9360"/>
        <w:jc w:val="left"/>
        <w:tblLayout w:type="fixed"/>
        <w:tblLook w:firstColumn="1" w:firstRow="1" w:lastColumn="0" w:lastRow="0" w:noHBand="0" w:noVBand="1" w:val="04A0"/>
        <w:tblInd w:w="120" w:type="dxa"/>
      </w:tblPr>
      <w:tblGrid>
        <w:gridCol w:w="1600"/>
        <w:gridCol w:w="5460"/>
        <w:gridCol w:w="2300"/>
      </w:tblGrid>
      <w:tr>
        <w:trPr>
          <w:tblHeader w:val="true"/>
        </w:trPr>
        <w:tc>
          <w:tcPr>
            <w:tcW w:type="dxa" w:w="1600"/>
            <w:tcMar>
              <w:top w:w="100" w:type="dxa"/>
              <w:start w:w="120" w:type="dxa"/>
              <w:bottom w:w="100" w:type="dxa"/>
              <w:end w:w="120" w:type="dxa"/>
            </w:tcMar>
            <w:vAlign w:val="center"/>
            <w:shd w:fill="123B5D"/>
          </w:tcPr>
          <w:p>
            <w:pPr>
              <w:keepLines/>
              <w:spacing w:after="0"/>
            </w:pPr>
            <w:r>
              <w:rPr>
                <w:rFonts w:ascii="Aptos" w:hAnsi="Aptos"/>
                <w:b/>
                <w:i w:val="0"/>
                <w:color w:val="FFFFFF"/>
                <w:sz w:val="19"/>
              </w:rPr>
              <w:t>Timing</w:t>
            </w:r>
          </w:p>
        </w:tc>
        <w:tc>
          <w:tcPr>
            <w:tcW w:type="dxa" w:w="5460"/>
            <w:tcMar>
              <w:top w:w="100" w:type="dxa"/>
              <w:start w:w="120" w:type="dxa"/>
              <w:bottom w:w="100" w:type="dxa"/>
              <w:end w:w="120" w:type="dxa"/>
            </w:tcMar>
            <w:vAlign w:val="center"/>
            <w:shd w:fill="123B5D"/>
          </w:tcPr>
          <w:p>
            <w:pPr>
              <w:keepLines/>
              <w:spacing w:after="0"/>
            </w:pPr>
            <w:r>
              <w:rPr>
                <w:rFonts w:ascii="Aptos" w:hAnsi="Aptos"/>
                <w:b/>
                <w:i w:val="0"/>
                <w:color w:val="FFFFFF"/>
                <w:sz w:val="19"/>
              </w:rPr>
              <w:t>Resource / activity</w:t>
            </w:r>
          </w:p>
        </w:tc>
        <w:tc>
          <w:tcPr>
            <w:tcW w:type="dxa" w:w="2300"/>
            <w:tcMar>
              <w:top w:w="100" w:type="dxa"/>
              <w:start w:w="120" w:type="dxa"/>
              <w:bottom w:w="100" w:type="dxa"/>
              <w:end w:w="120" w:type="dxa"/>
            </w:tcMar>
            <w:vAlign w:val="center"/>
            <w:shd w:fill="123B5D"/>
          </w:tcPr>
          <w:p>
            <w:pPr>
              <w:keepLines/>
              <w:spacing w:after="0"/>
            </w:pPr>
            <w:r>
              <w:rPr>
                <w:rFonts w:ascii="Aptos" w:hAnsi="Aptos"/>
                <w:b/>
                <w:i w:val="0"/>
                <w:color w:val="FFFFFF"/>
                <w:sz w:val="19"/>
              </w:rPr>
              <w:t>Completion evidence</w:t>
            </w:r>
          </w:p>
        </w:tc>
      </w:tr>
      <w:tr>
        <w:trPr/>
        <w:tc>
          <w:tcPr>
            <w:tcW w:type="dxa" w:w="16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Orientation</w:t>
            </w:r>
          </w:p>
        </w:tc>
        <w:tc>
          <w:tcPr>
            <w:tcW w:type="dxa" w:w="54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Modules 1–10; bylaws; policies; strategic priorities; financial overview</w:t>
            </w:r>
          </w:p>
        </w:tc>
        <w:tc>
          <w:tcPr>
            <w:tcW w:type="dxa" w:w="23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Attendance and acknowledgment</w:t>
            </w:r>
          </w:p>
        </w:tc>
      </w:tr>
      <w:tr>
        <w:trPr/>
        <w:tc>
          <w:tcPr>
            <w:tcW w:type="dxa" w:w="16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First regular meeting</w:t>
            </w:r>
          </w:p>
        </w:tc>
        <w:tc>
          <w:tcPr>
            <w:tcW w:type="dxa" w:w="546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Conflict disclosure; meeting procedures; communications and confidentiality</w:t>
            </w:r>
          </w:p>
        </w:tc>
        <w:tc>
          <w:tcPr>
            <w:tcW w:type="dxa" w:w="23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Signed disclosure / policy acknowledgment</w:t>
            </w:r>
          </w:p>
        </w:tc>
      </w:tr>
      <w:tr>
        <w:trPr/>
        <w:tc>
          <w:tcPr>
            <w:tcW w:type="dxa" w:w="16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Quarter 1</w:t>
            </w:r>
          </w:p>
        </w:tc>
        <w:tc>
          <w:tcPr>
            <w:tcW w:type="dxa" w:w="54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Financial statements, budget, internal controls, insurance, risk register</w:t>
            </w:r>
          </w:p>
        </w:tc>
        <w:tc>
          <w:tcPr>
            <w:tcW w:type="dxa" w:w="23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Finance briefing recorded in minutes</w:t>
            </w:r>
          </w:p>
        </w:tc>
      </w:tr>
      <w:tr>
        <w:trPr/>
        <w:tc>
          <w:tcPr>
            <w:tcW w:type="dxa" w:w="16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Quarter 2</w:t>
            </w:r>
          </w:p>
        </w:tc>
        <w:tc>
          <w:tcPr>
            <w:tcW w:type="dxa" w:w="546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Mission progress, membership trends, program and committee performance</w:t>
            </w:r>
          </w:p>
        </w:tc>
        <w:tc>
          <w:tcPr>
            <w:tcW w:type="dxa" w:w="23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Strategic dashboard review</w:t>
            </w:r>
          </w:p>
        </w:tc>
      </w:tr>
      <w:tr>
        <w:trPr/>
        <w:tc>
          <w:tcPr>
            <w:tcW w:type="dxa" w:w="16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Quarter 3</w:t>
            </w:r>
          </w:p>
        </w:tc>
        <w:tc>
          <w:tcPr>
            <w:tcW w:type="dxa" w:w="54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Executive Director goals and evaluation process; succession / continuity</w:t>
            </w:r>
          </w:p>
        </w:tc>
        <w:tc>
          <w:tcPr>
            <w:tcW w:type="dxa" w:w="23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Approved process and calendar</w:t>
            </w:r>
          </w:p>
        </w:tc>
      </w:tr>
      <w:tr>
        <w:trPr/>
        <w:tc>
          <w:tcPr>
            <w:tcW w:type="dxa" w:w="16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Quarter 4</w:t>
            </w:r>
          </w:p>
        </w:tc>
        <w:tc>
          <w:tcPr>
            <w:tcW w:type="dxa" w:w="546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Board self-assessment, policy review, next-year priorities and leadership handoff</w:t>
            </w:r>
          </w:p>
        </w:tc>
        <w:tc>
          <w:tcPr>
            <w:tcW w:type="dxa" w:w="23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Assessment and action plan</w:t>
            </w:r>
          </w:p>
        </w:tc>
      </w:tr>
    </w:tbl>
    <w:p>
      <w:pPr>
        <w:spacing w:after="40"/>
      </w:pPr>
    </w:p>
    <w:p>
      <w:pPr>
        <w:pStyle w:val="Heading2"/>
      </w:pPr>
      <w:r>
        <w:t>Required orientation packet</w:t>
      </w:r>
    </w:p>
    <w:p>
      <w:pPr>
        <w:pStyle w:val="ListBullet"/>
        <w:spacing w:after="80" w:line="283" w:lineRule="auto"/>
      </w:pPr>
      <w:r>
        <w:rPr>
          <w:rFonts w:ascii="Aptos" w:hAnsi="Aptos"/>
          <w:b w:val="0"/>
          <w:i w:val="0"/>
          <w:color w:val="24313A"/>
          <w:sz w:val="22"/>
        </w:rPr>
        <w:t>Articles of Incorporation and current Bylaws.</w:t>
      </w:r>
    </w:p>
    <w:p>
      <w:pPr>
        <w:pStyle w:val="ListBullet"/>
        <w:spacing w:after="80" w:line="283" w:lineRule="auto"/>
      </w:pPr>
      <w:r>
        <w:rPr>
          <w:rFonts w:ascii="Aptos" w:hAnsi="Aptos"/>
          <w:b w:val="0"/>
          <w:i w:val="0"/>
          <w:color w:val="24313A"/>
          <w:sz w:val="22"/>
        </w:rPr>
        <w:t>Current organizational chart; officer and committee roles.</w:t>
      </w:r>
    </w:p>
    <w:p>
      <w:pPr>
        <w:pStyle w:val="ListBullet"/>
        <w:spacing w:after="80" w:line="283" w:lineRule="auto"/>
      </w:pPr>
      <w:r>
        <w:rPr>
          <w:rFonts w:ascii="Aptos" w:hAnsi="Aptos"/>
          <w:b w:val="0"/>
          <w:i w:val="0"/>
          <w:color w:val="24313A"/>
          <w:sz w:val="22"/>
        </w:rPr>
        <w:t>Board policies: conflict of interest, confidentiality, code of conduct, whistleblower/reporting, document retention, finance and reimbursements, communications, and closed sessions.</w:t>
      </w:r>
    </w:p>
    <w:p>
      <w:pPr>
        <w:pStyle w:val="ListBullet"/>
        <w:spacing w:after="80" w:line="283" w:lineRule="auto"/>
      </w:pPr>
      <w:r>
        <w:rPr>
          <w:rFonts w:ascii="Aptos" w:hAnsi="Aptos"/>
          <w:b w:val="0"/>
          <w:i w:val="0"/>
          <w:color w:val="24313A"/>
          <w:sz w:val="22"/>
        </w:rPr>
        <w:t>Current budget, recent financial statements, most recent tax filing, and insurance summary.</w:t>
      </w:r>
    </w:p>
    <w:p>
      <w:pPr>
        <w:pStyle w:val="ListBullet"/>
        <w:spacing w:after="80" w:line="283" w:lineRule="auto"/>
      </w:pPr>
      <w:r>
        <w:rPr>
          <w:rFonts w:ascii="Aptos" w:hAnsi="Aptos"/>
          <w:b w:val="0"/>
          <w:i w:val="0"/>
          <w:color w:val="24313A"/>
          <w:sz w:val="22"/>
        </w:rPr>
        <w:t>Strategic plan, annual goals, committee workplans, leadership calendar, and key contracts or obligations.</w:t>
      </w:r>
    </w:p>
    <w:p>
      <w:pPr>
        <w:pStyle w:val="ListBullet"/>
        <w:spacing w:after="80" w:line="283" w:lineRule="auto"/>
      </w:pPr>
      <w:r>
        <w:rPr>
          <w:rFonts w:ascii="Aptos" w:hAnsi="Aptos"/>
          <w:b w:val="0"/>
          <w:i w:val="0"/>
          <w:color w:val="24313A"/>
          <w:sz w:val="22"/>
        </w:rPr>
        <w:t>Recent minutes sufficient to understand active decisions and unresolved matters.</w:t>
      </w:r>
    </w:p>
    <w:p>
      <w:pPr>
        <w:pStyle w:val="Heading1"/>
      </w:pPr>
      <w:r>
        <w:t>Quick Reference — Before You Vote</w:t>
      </w:r>
    </w:p>
    <w:p>
      <w:pPr>
        <w:pStyle w:val="ListBullet"/>
        <w:spacing w:after="80" w:line="283" w:lineRule="auto"/>
      </w:pPr>
      <w:r>
        <w:rPr>
          <w:rFonts w:ascii="Aptos" w:hAnsi="Aptos"/>
          <w:b w:val="0"/>
          <w:i w:val="0"/>
          <w:color w:val="24313A"/>
          <w:sz w:val="22"/>
        </w:rPr>
        <w:t>☐ I understand the exact action being proposed.</w:t>
      </w:r>
    </w:p>
    <w:p>
      <w:pPr>
        <w:pStyle w:val="ListBullet"/>
        <w:spacing w:after="80" w:line="283" w:lineRule="auto"/>
      </w:pPr>
      <w:r>
        <w:rPr>
          <w:rFonts w:ascii="Aptos" w:hAnsi="Aptos"/>
          <w:b w:val="0"/>
          <w:i w:val="0"/>
          <w:color w:val="24313A"/>
          <w:sz w:val="22"/>
        </w:rPr>
        <w:t>☐ The Council has authority and a quorum.</w:t>
      </w:r>
    </w:p>
    <w:p>
      <w:pPr>
        <w:pStyle w:val="ListBullet"/>
        <w:spacing w:after="80" w:line="283" w:lineRule="auto"/>
      </w:pPr>
      <w:r>
        <w:rPr>
          <w:rFonts w:ascii="Aptos" w:hAnsi="Aptos"/>
          <w:b w:val="0"/>
          <w:i w:val="0"/>
          <w:color w:val="24313A"/>
          <w:sz w:val="22"/>
        </w:rPr>
        <w:t>☐ I reviewed the relevant materials and asked necessary questions.</w:t>
      </w:r>
    </w:p>
    <w:p>
      <w:pPr>
        <w:pStyle w:val="ListBullet"/>
        <w:spacing w:after="80" w:line="283" w:lineRule="auto"/>
      </w:pPr>
      <w:r>
        <w:rPr>
          <w:rFonts w:ascii="Aptos" w:hAnsi="Aptos"/>
          <w:b w:val="0"/>
          <w:i w:val="0"/>
          <w:color w:val="24313A"/>
          <w:sz w:val="22"/>
        </w:rPr>
        <w:t>☐ Material facts, alternatives, costs, and risks have been presented.</w:t>
      </w:r>
    </w:p>
    <w:p>
      <w:pPr>
        <w:pStyle w:val="ListBullet"/>
        <w:spacing w:after="80" w:line="283" w:lineRule="auto"/>
      </w:pPr>
      <w:r>
        <w:rPr>
          <w:rFonts w:ascii="Aptos" w:hAnsi="Aptos"/>
          <w:b w:val="0"/>
          <w:i w:val="0"/>
          <w:color w:val="24313A"/>
          <w:sz w:val="22"/>
        </w:rPr>
        <w:t>☐ I disclosed any actual or potential conflict.</w:t>
      </w:r>
    </w:p>
    <w:p>
      <w:pPr>
        <w:pStyle w:val="ListBullet"/>
        <w:spacing w:after="80" w:line="283" w:lineRule="auto"/>
      </w:pPr>
      <w:r>
        <w:rPr>
          <w:rFonts w:ascii="Aptos" w:hAnsi="Aptos"/>
          <w:b w:val="0"/>
          <w:i w:val="0"/>
          <w:color w:val="24313A"/>
          <w:sz w:val="22"/>
        </w:rPr>
        <w:t>☐ The action reasonably advances SKCDS’s mission and best interests.</w:t>
      </w:r>
    </w:p>
    <w:p>
      <w:pPr>
        <w:pStyle w:val="ListBullet"/>
        <w:spacing w:after="80" w:line="283" w:lineRule="auto"/>
      </w:pPr>
      <w:r>
        <w:rPr>
          <w:rFonts w:ascii="Aptos" w:hAnsi="Aptos"/>
          <w:b w:val="0"/>
          <w:i w:val="0"/>
          <w:color w:val="24313A"/>
          <w:sz w:val="22"/>
        </w:rPr>
        <w:t>☐ The responsible owner, deadline, authority, and budget are clear.</w:t>
      </w:r>
    </w:p>
    <w:p>
      <w:pPr>
        <w:pStyle w:val="ListBullet"/>
        <w:spacing w:after="80" w:line="283" w:lineRule="auto"/>
      </w:pPr>
      <w:r>
        <w:rPr>
          <w:rFonts w:ascii="Aptos" w:hAnsi="Aptos"/>
          <w:b w:val="0"/>
          <w:i w:val="0"/>
          <w:color w:val="24313A"/>
          <w:sz w:val="22"/>
        </w:rPr>
        <w:t>☐ The decision can be accurately recorded and implemented.</w:t>
      </w:r>
    </w:p>
    <w:p>
      <w:pPr>
        <w:pStyle w:val="Heading1"/>
      </w:pPr>
      <w:r>
        <w:t>Quick Reference — Escalate, Don’t Improvise</w:t>
      </w:r>
    </w:p>
    <w:tbl>
      <w:tblPr>
        <w:tblStyle w:val="TableGrid"/>
        <w:tblW w:type="dxa" w:w="9360"/>
        <w:jc w:val="left"/>
        <w:tblLayout w:type="fixed"/>
        <w:tblLook w:firstColumn="1" w:firstRow="1" w:lastColumn="0" w:lastRow="0" w:noHBand="0" w:noVBand="1" w:val="04A0"/>
        <w:tblInd w:w="120" w:type="dxa"/>
      </w:tblPr>
      <w:tblGrid>
        <w:gridCol w:w="4460"/>
        <w:gridCol w:w="4900"/>
      </w:tblGrid>
      <w:tr>
        <w:trPr>
          <w:tblHeader w:val="true"/>
        </w:trPr>
        <w:tc>
          <w:tcPr>
            <w:tcW w:type="dxa" w:w="4460"/>
            <w:tcMar>
              <w:top w:w="100" w:type="dxa"/>
              <w:start w:w="120" w:type="dxa"/>
              <w:bottom w:w="100" w:type="dxa"/>
              <w:end w:w="120" w:type="dxa"/>
            </w:tcMar>
            <w:vAlign w:val="center"/>
            <w:shd w:fill="123B5D"/>
          </w:tcPr>
          <w:p>
            <w:pPr>
              <w:keepLines/>
              <w:spacing w:after="0"/>
            </w:pPr>
            <w:r>
              <w:rPr>
                <w:rFonts w:ascii="Aptos" w:hAnsi="Aptos"/>
                <w:b/>
                <w:i w:val="0"/>
                <w:color w:val="FFFFFF"/>
                <w:sz w:val="19"/>
              </w:rPr>
              <w:t>If this happens…</w:t>
            </w:r>
          </w:p>
        </w:tc>
        <w:tc>
          <w:tcPr>
            <w:tcW w:type="dxa" w:w="4900"/>
            <w:tcMar>
              <w:top w:w="100" w:type="dxa"/>
              <w:start w:w="120" w:type="dxa"/>
              <w:bottom w:w="100" w:type="dxa"/>
              <w:end w:w="120" w:type="dxa"/>
            </w:tcMar>
            <w:vAlign w:val="center"/>
            <w:shd w:fill="123B5D"/>
          </w:tcPr>
          <w:p>
            <w:pPr>
              <w:keepLines/>
              <w:spacing w:after="0"/>
            </w:pPr>
            <w:r>
              <w:rPr>
                <w:rFonts w:ascii="Aptos" w:hAnsi="Aptos"/>
                <w:b/>
                <w:i w:val="0"/>
                <w:color w:val="FFFFFF"/>
                <w:sz w:val="19"/>
              </w:rPr>
              <w:t>Pause and contact…</w:t>
            </w:r>
          </w:p>
        </w:tc>
      </w:tr>
      <w:tr>
        <w:trPr/>
        <w:tc>
          <w:tcPr>
            <w:tcW w:type="dxa" w:w="44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Unclear bylaw authority, legal demand, threat, or dispute</w:t>
            </w:r>
          </w:p>
        </w:tc>
        <w:tc>
          <w:tcPr>
            <w:tcW w:type="dxa" w:w="49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President, Executive Director, and legal counsel as designated</w:t>
            </w:r>
          </w:p>
        </w:tc>
      </w:tr>
      <w:tr>
        <w:trPr/>
        <w:tc>
          <w:tcPr>
            <w:tcW w:type="dxa" w:w="446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Potential conflict of interest</w:t>
            </w:r>
          </w:p>
        </w:tc>
        <w:tc>
          <w:tcPr>
            <w:tcW w:type="dxa" w:w="49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President / Secretary / Executive Director under policy</w:t>
            </w:r>
          </w:p>
        </w:tc>
      </w:tr>
      <w:tr>
        <w:trPr/>
        <w:tc>
          <w:tcPr>
            <w:tcW w:type="dxa" w:w="44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Employee complaint or performance concern</w:t>
            </w:r>
          </w:p>
        </w:tc>
        <w:tc>
          <w:tcPr>
            <w:tcW w:type="dxa" w:w="49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President and Executive Director; HR or counsel as appropriate</w:t>
            </w:r>
          </w:p>
        </w:tc>
      </w:tr>
      <w:tr>
        <w:trPr/>
        <w:tc>
          <w:tcPr>
            <w:tcW w:type="dxa" w:w="446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Financial irregularity or missing documentation</w:t>
            </w:r>
          </w:p>
        </w:tc>
        <w:tc>
          <w:tcPr>
            <w:tcW w:type="dxa" w:w="49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Treasurer, President, Executive Director, and reporting channel</w:t>
            </w:r>
          </w:p>
        </w:tc>
      </w:tr>
      <w:tr>
        <w:trPr/>
        <w:tc>
          <w:tcPr>
            <w:tcW w:type="dxa" w:w="44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Data breach, phishing, lost device, or compromised account</w:t>
            </w:r>
          </w:p>
        </w:tc>
        <w:tc>
          <w:tcPr>
            <w:tcW w:type="dxa" w:w="49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Executive Director / IT and incident-response contact</w:t>
            </w:r>
          </w:p>
        </w:tc>
      </w:tr>
      <w:tr>
        <w:trPr/>
        <w:tc>
          <w:tcPr>
            <w:tcW w:type="dxa" w:w="446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Media inquiry or public controversy</w:t>
            </w:r>
          </w:p>
        </w:tc>
        <w:tc>
          <w:tcPr>
            <w:tcW w:type="dxa" w:w="4900"/>
            <w:shd w:fill="F7FAFC"/>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Designated spokesperson and leadership</w:t>
            </w:r>
          </w:p>
        </w:tc>
      </w:tr>
    </w:tbl>
    <w:p>
      <w:pPr>
        <w:spacing w:after="40"/>
      </w:pPr>
    </w:p>
    <w:p>
      <w:r>
        <w:br w:type="page"/>
      </w:r>
    </w:p>
    <w:p>
      <w:pPr>
        <w:pStyle w:val="Heading1"/>
      </w:pPr>
      <w:r>
        <w:t>Practice Scenarios for Facilitated Discussion</w:t>
      </w:r>
    </w:p>
    <w:p>
      <w:pPr>
        <w:pStyle w:val="Heading2"/>
      </w:pPr>
      <w:r>
        <w:t>1. The familiar vendor</w:t>
      </w:r>
    </w:p>
    <w:p>
      <w:pPr>
        <w:spacing w:after="120" w:line="283" w:lineRule="auto"/>
      </w:pPr>
      <w:r>
        <w:rPr>
          <w:rFonts w:ascii="Aptos" w:hAnsi="Aptos"/>
          <w:b w:val="0"/>
          <w:i w:val="0"/>
          <w:color w:val="24313A"/>
          <w:sz w:val="22"/>
        </w:rPr>
        <w:t>A Council member’s close colleague owns a company bidding on an SKCDS contract. The member believes the company is clearly best qualified.</w:t>
      </w:r>
    </w:p>
    <w:p>
      <w:pPr>
        <w:spacing w:after="120" w:line="283" w:lineRule="auto"/>
      </w:pPr>
      <w:r>
        <w:rPr>
          <w:rFonts w:ascii="Aptos" w:hAnsi="Aptos"/>
          <w:b/>
          <w:i w:val="0"/>
          <w:color w:val="24313A"/>
          <w:sz w:val="22"/>
        </w:rPr>
        <w:t xml:space="preserve">Discuss: </w:t>
      </w:r>
      <w:r>
        <w:rPr>
          <w:rFonts w:ascii="Aptos" w:hAnsi="Aptos"/>
          <w:b w:val="0"/>
          <w:i w:val="0"/>
          <w:color w:val="24313A"/>
          <w:sz w:val="22"/>
        </w:rPr>
        <w:t>What must be disclosed? Who should compare proposals? Should the member receive materials, participate, or vote? What should the minutes show?</w:t>
      </w:r>
    </w:p>
    <w:p>
      <w:pPr>
        <w:pStyle w:val="Heading2"/>
      </w:pPr>
      <w:r>
        <w:t>2. The “small” staff request</w:t>
      </w:r>
    </w:p>
    <w:p>
      <w:pPr>
        <w:spacing w:after="120" w:line="283" w:lineRule="auto"/>
      </w:pPr>
      <w:r>
        <w:rPr>
          <w:rFonts w:ascii="Aptos" w:hAnsi="Aptos"/>
          <w:b w:val="0"/>
          <w:i w:val="0"/>
          <w:color w:val="24313A"/>
          <w:sz w:val="22"/>
        </w:rPr>
        <w:t>A member asks an employee directly to create a new event flyer and registration page within three days. The request was not discussed with the Executive Director.</w:t>
      </w:r>
    </w:p>
    <w:p>
      <w:pPr>
        <w:spacing w:after="120" w:line="283" w:lineRule="auto"/>
      </w:pPr>
      <w:r>
        <w:rPr>
          <w:rFonts w:ascii="Aptos" w:hAnsi="Aptos"/>
          <w:b/>
          <w:i w:val="0"/>
          <w:color w:val="24313A"/>
          <w:sz w:val="22"/>
        </w:rPr>
        <w:t xml:space="preserve">Discuss: </w:t>
      </w:r>
      <w:r>
        <w:rPr>
          <w:rFonts w:ascii="Aptos" w:hAnsi="Aptos"/>
          <w:b w:val="0"/>
          <w:i w:val="0"/>
          <w:color w:val="24313A"/>
          <w:sz w:val="22"/>
        </w:rPr>
        <w:t>What governance boundary is involved? How should the request be routed? What workload, approval, budget, and priority questions should be answered?</w:t>
      </w:r>
    </w:p>
    <w:p>
      <w:pPr>
        <w:pStyle w:val="Heading2"/>
      </w:pPr>
      <w:r>
        <w:t>3. The difficult closed session</w:t>
      </w:r>
    </w:p>
    <w:p>
      <w:pPr>
        <w:spacing w:after="120" w:line="283" w:lineRule="auto"/>
      </w:pPr>
      <w:r>
        <w:rPr>
          <w:rFonts w:ascii="Aptos" w:hAnsi="Aptos"/>
          <w:b w:val="0"/>
          <w:i w:val="0"/>
          <w:color w:val="24313A"/>
          <w:sz w:val="22"/>
        </w:rPr>
        <w:t>A sensitive topic is moved into closed session because members are uncomfortable discussing it openly. No purpose or handling rule is stated.</w:t>
      </w:r>
    </w:p>
    <w:p>
      <w:pPr>
        <w:spacing w:after="120" w:line="283" w:lineRule="auto"/>
      </w:pPr>
      <w:r>
        <w:rPr>
          <w:rFonts w:ascii="Aptos" w:hAnsi="Aptos"/>
          <w:b/>
          <w:i w:val="0"/>
          <w:color w:val="24313A"/>
          <w:sz w:val="22"/>
        </w:rPr>
        <w:t xml:space="preserve">Discuss: </w:t>
      </w:r>
      <w:r>
        <w:rPr>
          <w:rFonts w:ascii="Aptos" w:hAnsi="Aptos"/>
          <w:b w:val="0"/>
          <w:i w:val="0"/>
          <w:color w:val="24313A"/>
          <w:sz w:val="22"/>
        </w:rPr>
        <w:t>What legitimate confidentiality interest exists? Is a closed session authorized by SKCDS policy? Who should attend? Where and how should any action occur?</w:t>
      </w:r>
    </w:p>
    <w:p>
      <w:pPr>
        <w:pStyle w:val="Heading2"/>
      </w:pPr>
      <w:r>
        <w:t>4. The late financial surprise</w:t>
      </w:r>
    </w:p>
    <w:p>
      <w:pPr>
        <w:spacing w:after="120" w:line="283" w:lineRule="auto"/>
      </w:pPr>
      <w:r>
        <w:rPr>
          <w:rFonts w:ascii="Aptos" w:hAnsi="Aptos"/>
          <w:b w:val="0"/>
          <w:i w:val="0"/>
          <w:color w:val="24313A"/>
          <w:sz w:val="22"/>
        </w:rPr>
        <w:t>A program is substantially over budget. The variance appeared in prior reports but was not questioned.</w:t>
      </w:r>
    </w:p>
    <w:p>
      <w:pPr>
        <w:spacing w:after="120" w:line="283" w:lineRule="auto"/>
      </w:pPr>
      <w:r>
        <w:rPr>
          <w:rFonts w:ascii="Aptos" w:hAnsi="Aptos"/>
          <w:b/>
          <w:i w:val="0"/>
          <w:color w:val="24313A"/>
          <w:sz w:val="22"/>
        </w:rPr>
        <w:t xml:space="preserve">Discuss: </w:t>
      </w:r>
      <w:r>
        <w:rPr>
          <w:rFonts w:ascii="Aptos" w:hAnsi="Aptos"/>
          <w:b w:val="0"/>
          <w:i w:val="0"/>
          <w:color w:val="24313A"/>
          <w:sz w:val="22"/>
        </w:rPr>
        <w:t>What information should the Council request? Which controls, reporting thresholds, or decision points need improvement? What is oversight versus blame?</w:t>
      </w:r>
    </w:p>
    <w:p>
      <w:pPr>
        <w:pStyle w:val="Heading2"/>
      </w:pPr>
      <w:r>
        <w:t>5. The group text</w:t>
      </w:r>
    </w:p>
    <w:p>
      <w:pPr>
        <w:spacing w:after="120" w:line="283" w:lineRule="auto"/>
      </w:pPr>
      <w:r>
        <w:rPr>
          <w:rFonts w:ascii="Aptos" w:hAnsi="Aptos"/>
          <w:b w:val="0"/>
          <w:i w:val="0"/>
          <w:color w:val="24313A"/>
          <w:sz w:val="22"/>
        </w:rPr>
        <w:t>Several members discuss and reach agreement on an upcoming decision by text before the meeting.</w:t>
      </w:r>
    </w:p>
    <w:p>
      <w:pPr>
        <w:spacing w:after="120" w:line="283" w:lineRule="auto"/>
      </w:pPr>
      <w:r>
        <w:rPr>
          <w:rFonts w:ascii="Aptos" w:hAnsi="Aptos"/>
          <w:b/>
          <w:i w:val="0"/>
          <w:color w:val="24313A"/>
          <w:sz w:val="22"/>
        </w:rPr>
        <w:t xml:space="preserve">Discuss: </w:t>
      </w:r>
      <w:r>
        <w:rPr>
          <w:rFonts w:ascii="Aptos" w:hAnsi="Aptos"/>
          <w:b w:val="0"/>
          <w:i w:val="0"/>
          <w:color w:val="24313A"/>
          <w:sz w:val="22"/>
        </w:rPr>
        <w:t>Has deliberation become decision-making outside the official process? Are all directors included and informed? How should the matter return to the formal agenda and record?</w:t>
      </w:r>
    </w:p>
    <w:p>
      <w:pPr>
        <w:pStyle w:val="Heading1"/>
      </w:pPr>
      <w:r>
        <w:t>Executive Council Member Acknowledgment</w:t>
      </w:r>
    </w:p>
    <w:p>
      <w:pPr>
        <w:spacing w:after="120" w:line="283" w:lineRule="auto"/>
      </w:pPr>
      <w:r>
        <w:rPr>
          <w:rFonts w:ascii="Aptos" w:hAnsi="Aptos"/>
          <w:b w:val="0"/>
          <w:i w:val="0"/>
          <w:color w:val="24313A"/>
          <w:sz w:val="22"/>
        </w:rPr>
        <w:t>I acknowledge that I received the SKCDS Executive Council Training Resources and understand that Executive Council members govern collectively. I agree to follow applicable law, SKCDS governing documents, policies, and properly adopted decisions; disclose conflicts; protect confidential information; respect board–staff roles; and ask for guidance when authority or procedure is unclear.</w:t>
      </w:r>
    </w:p>
    <w:p/>
    <w:tbl>
      <w:tblPr>
        <w:tblStyle w:val="TableGrid"/>
        <w:tblW w:type="dxa" w:w="9360"/>
        <w:jc w:val="left"/>
        <w:tblLayout w:type="fixed"/>
        <w:tblLook w:firstColumn="1" w:firstRow="1" w:lastColumn="0" w:lastRow="0" w:noHBand="0" w:noVBand="1" w:val="04A0"/>
        <w:tblInd w:w="120" w:type="dxa"/>
      </w:tblPr>
      <w:tblGrid>
        <w:gridCol w:w="3000"/>
        <w:gridCol w:w="4060"/>
        <w:gridCol w:w="2300"/>
      </w:tblGrid>
      <w:tr>
        <w:trPr>
          <w:tblHeader w:val="true"/>
        </w:trPr>
        <w:tc>
          <w:tcPr>
            <w:tcW w:type="dxa" w:w="3000"/>
            <w:tcMar>
              <w:top w:w="100" w:type="dxa"/>
              <w:start w:w="120" w:type="dxa"/>
              <w:bottom w:w="100" w:type="dxa"/>
              <w:end w:w="120" w:type="dxa"/>
            </w:tcMar>
            <w:vAlign w:val="center"/>
            <w:shd w:fill="123B5D"/>
          </w:tcPr>
          <w:p>
            <w:pPr>
              <w:keepLines/>
              <w:spacing w:after="0"/>
            </w:pPr>
            <w:r>
              <w:rPr>
                <w:rFonts w:ascii="Aptos" w:hAnsi="Aptos"/>
                <w:b/>
                <w:i w:val="0"/>
                <w:color w:val="FFFFFF"/>
                <w:sz w:val="19"/>
              </w:rPr>
              <w:t>Name</w:t>
            </w:r>
          </w:p>
        </w:tc>
        <w:tc>
          <w:tcPr>
            <w:tcW w:type="dxa" w:w="4060"/>
            <w:tcMar>
              <w:top w:w="100" w:type="dxa"/>
              <w:start w:w="120" w:type="dxa"/>
              <w:bottom w:w="100" w:type="dxa"/>
              <w:end w:w="120" w:type="dxa"/>
            </w:tcMar>
            <w:vAlign w:val="center"/>
            <w:shd w:fill="123B5D"/>
          </w:tcPr>
          <w:p>
            <w:pPr>
              <w:keepLines/>
              <w:spacing w:after="0"/>
            </w:pPr>
            <w:r>
              <w:rPr>
                <w:rFonts w:ascii="Aptos" w:hAnsi="Aptos"/>
                <w:b/>
                <w:i w:val="0"/>
                <w:color w:val="FFFFFF"/>
                <w:sz w:val="19"/>
              </w:rPr>
              <w:t>Signature</w:t>
            </w:r>
          </w:p>
        </w:tc>
        <w:tc>
          <w:tcPr>
            <w:tcW w:type="dxa" w:w="2300"/>
            <w:tcMar>
              <w:top w:w="100" w:type="dxa"/>
              <w:start w:w="120" w:type="dxa"/>
              <w:bottom w:w="100" w:type="dxa"/>
              <w:end w:w="120" w:type="dxa"/>
            </w:tcMar>
            <w:vAlign w:val="center"/>
            <w:shd w:fill="123B5D"/>
          </w:tcPr>
          <w:p>
            <w:pPr>
              <w:keepLines/>
              <w:spacing w:after="0"/>
            </w:pPr>
            <w:r>
              <w:rPr>
                <w:rFonts w:ascii="Aptos" w:hAnsi="Aptos"/>
                <w:b/>
                <w:i w:val="0"/>
                <w:color w:val="FFFFFF"/>
                <w:sz w:val="19"/>
              </w:rPr>
              <w:t>Date</w:t>
            </w:r>
          </w:p>
        </w:tc>
      </w:tr>
      <w:tr>
        <w:trPr/>
        <w:tc>
          <w:tcPr>
            <w:tcW w:type="dxa" w:w="30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 xml:space="preserve"> </w:t>
            </w:r>
          </w:p>
        </w:tc>
        <w:tc>
          <w:tcPr>
            <w:tcW w:type="dxa" w:w="406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 xml:space="preserve"> </w:t>
            </w:r>
          </w:p>
        </w:tc>
        <w:tc>
          <w:tcPr>
            <w:tcW w:type="dxa" w:w="2300"/>
            <w:tcMar>
              <w:top w:w="100" w:type="dxa"/>
              <w:start w:w="120" w:type="dxa"/>
              <w:bottom w:w="100" w:type="dxa"/>
              <w:end w:w="120" w:type="dxa"/>
            </w:tcMar>
            <w:vAlign w:val="center"/>
          </w:tcPr>
          <w:p>
            <w:pPr>
              <w:keepLines/>
              <w:spacing w:after="0" w:line="259" w:lineRule="auto"/>
            </w:pPr>
            <w:r>
              <w:rPr>
                <w:rFonts w:ascii="Aptos" w:hAnsi="Aptos"/>
                <w:b w:val="0"/>
                <w:i w:val="0"/>
                <w:color w:val="24313A"/>
                <w:sz w:val="18"/>
              </w:rPr>
              <w:t xml:space="preserve"> </w:t>
            </w:r>
          </w:p>
        </w:tc>
      </w:tr>
    </w:tbl>
    <w:p>
      <w:pPr>
        <w:spacing w:after="40"/>
      </w:pPr>
    </w:p>
    <w:p>
      <w:pPr>
        <w:spacing w:after="60" w:line="283" w:lineRule="auto"/>
      </w:pPr>
      <w:r>
        <w:rPr>
          <w:rFonts w:ascii="Aptos" w:hAnsi="Aptos"/>
          <w:b w:val="0"/>
          <w:i w:val="0"/>
          <w:color w:val="24313A"/>
          <w:sz w:val="22"/>
        </w:rPr>
        <w:t>This guide is an educational governance resource and is not legal, tax, accounting, employment, or insurance advice. SKCDS should have its governing documents and adopted policies reviewed by qualified advisors and update this guide when those authorities change.</w:t>
      </w:r>
    </w:p>
    <w:p>
      <w:pPr>
        <w:pStyle w:val="Heading1"/>
      </w:pPr>
      <w:r>
        <w:t>Sources and Additional Resources</w:t>
      </w:r>
    </w:p>
    <w:p>
      <w:pPr>
        <w:pStyle w:val="ListBullet"/>
        <w:spacing w:after="80"/>
      </w:pPr>
      <w:hyperlink r:id="rId11">
        <w:r>
          <w:rPr>
            <w:color w:val="2878A8"/>
            <w:u w:val="single"/>
          </w:rPr>
          <w:t>Washington Governor — Online Appointee Training</w:t>
        </w:r>
      </w:hyperlink>
    </w:p>
    <w:p>
      <w:pPr>
        <w:pStyle w:val="ListBullet"/>
        <w:spacing w:after="80"/>
      </w:pPr>
      <w:hyperlink r:id="rId12">
        <w:r>
          <w:rPr>
            <w:color w:val="2878A8"/>
            <w:u w:val="single"/>
          </w:rPr>
          <w:t>Washington Governor — Resources for Appointees</w:t>
        </w:r>
      </w:hyperlink>
    </w:p>
    <w:p>
      <w:pPr>
        <w:pStyle w:val="ListBullet"/>
        <w:spacing w:after="80"/>
      </w:pPr>
      <w:hyperlink r:id="rId13">
        <w:r>
          <w:rPr>
            <w:color w:val="2878A8"/>
            <w:u w:val="single"/>
          </w:rPr>
          <w:t>Governor’s Handbook for Boards and Commissions</w:t>
        </w:r>
      </w:hyperlink>
    </w:p>
    <w:p>
      <w:pPr>
        <w:pStyle w:val="ListBullet"/>
        <w:spacing w:after="80"/>
      </w:pPr>
      <w:hyperlink r:id="rId14">
        <w:r>
          <w:rPr>
            <w:color w:val="2878A8"/>
            <w:u w:val="single"/>
          </w:rPr>
          <w:t>Washington Nonprofit Corporation Act — chapter 24.03A RCW</w:t>
        </w:r>
      </w:hyperlink>
    </w:p>
    <w:p>
      <w:pPr>
        <w:pStyle w:val="ListBullet"/>
        <w:spacing w:after="80"/>
      </w:pPr>
      <w:hyperlink r:id="rId15">
        <w:r>
          <w:rPr>
            <w:color w:val="2878A8"/>
            <w:u w:val="single"/>
          </w:rPr>
          <w:t>RCW 24.03A.495 — Standards of conduct for directors</w:t>
        </w:r>
      </w:hyperlink>
    </w:p>
    <w:p>
      <w:pPr>
        <w:pStyle w:val="ListBullet"/>
        <w:spacing w:after="80"/>
      </w:pPr>
      <w:hyperlink r:id="rId16">
        <w:r>
          <w:rPr>
            <w:color w:val="2878A8"/>
            <w:u w:val="single"/>
          </w:rPr>
          <w:t>RCW 24.03A.550 — Meetings of the board</w:t>
        </w:r>
      </w:hyperlink>
    </w:p>
    <w:p>
      <w:pPr>
        <w:pStyle w:val="ListBullet"/>
        <w:spacing w:after="80"/>
      </w:pPr>
      <w:hyperlink r:id="rId17">
        <w:r>
          <w:rPr>
            <w:color w:val="2878A8"/>
            <w:u w:val="single"/>
          </w:rPr>
          <w:t>RCW 24.03A.565 — Board quorum and voting</w:t>
        </w:r>
      </w:hyperlink>
    </w:p>
    <w:p>
      <w:pPr>
        <w:pStyle w:val="ListBullet"/>
        <w:spacing w:after="80"/>
      </w:pPr>
      <w:hyperlink r:id="rId18">
        <w:r>
          <w:rPr>
            <w:color w:val="2878A8"/>
            <w:u w:val="single"/>
          </w:rPr>
          <w:t>RCW 24.03A.615 — Conflicting interest transactions</w:t>
        </w:r>
      </w:hyperlink>
    </w:p>
    <w:p>
      <w:pPr>
        <w:pStyle w:val="ListBullet"/>
        <w:spacing w:after="80"/>
      </w:pPr>
      <w:hyperlink r:id="rId19">
        <w:r>
          <w:rPr>
            <w:color w:val="2878A8"/>
            <w:u w:val="single"/>
          </w:rPr>
          <w:t>RCW 24.03A.210 — Corporate records</w:t>
        </w:r>
      </w:hyperlink>
    </w:p>
    <w:p>
      <w:pPr>
        <w:pStyle w:val="Heading2"/>
      </w:pPr>
      <w:r>
        <w:t>SKCDS customization checklist</w:t>
      </w:r>
    </w:p>
    <w:p>
      <w:pPr>
        <w:pStyle w:val="ListBullet"/>
        <w:spacing w:after="80" w:line="283" w:lineRule="auto"/>
      </w:pPr>
      <w:r>
        <w:rPr>
          <w:rFonts w:ascii="Aptos" w:hAnsi="Aptos"/>
          <w:b w:val="0"/>
          <w:i w:val="0"/>
          <w:color w:val="24313A"/>
          <w:sz w:val="22"/>
        </w:rPr>
        <w:t>☐ Insert current bylaw section references for Council composition, quorum, notice, voting, officers, committees, and written consent.</w:t>
      </w:r>
    </w:p>
    <w:p>
      <w:pPr>
        <w:pStyle w:val="ListBullet"/>
        <w:spacing w:after="80" w:line="283" w:lineRule="auto"/>
      </w:pPr>
      <w:r>
        <w:rPr>
          <w:rFonts w:ascii="Aptos" w:hAnsi="Aptos"/>
          <w:b w:val="0"/>
          <w:i w:val="0"/>
          <w:color w:val="24313A"/>
          <w:sz w:val="22"/>
        </w:rPr>
        <w:t>☐ Attach or link current SKCDS policies and identify the official reporting contacts.</w:t>
      </w:r>
    </w:p>
    <w:p>
      <w:pPr>
        <w:pStyle w:val="ListBullet"/>
        <w:spacing w:after="80" w:line="283" w:lineRule="auto"/>
      </w:pPr>
      <w:r>
        <w:rPr>
          <w:rFonts w:ascii="Aptos" w:hAnsi="Aptos"/>
          <w:b w:val="0"/>
          <w:i w:val="0"/>
          <w:color w:val="24313A"/>
          <w:sz w:val="22"/>
        </w:rPr>
        <w:t>☐ Confirm whether the Executive Council is the statutory board of directors or exercises delegated authority under another governing structure.</w:t>
      </w:r>
    </w:p>
    <w:p>
      <w:pPr>
        <w:pStyle w:val="ListBullet"/>
        <w:spacing w:after="80" w:line="283" w:lineRule="auto"/>
      </w:pPr>
      <w:r>
        <w:rPr>
          <w:rFonts w:ascii="Aptos" w:hAnsi="Aptos"/>
          <w:b w:val="0"/>
          <w:i w:val="0"/>
          <w:color w:val="24313A"/>
          <w:sz w:val="22"/>
        </w:rPr>
        <w:t>☐ Have counsel review the closed-session, confidentiality, conflict, employment, peer-review, and records language.</w:t>
      </w:r>
    </w:p>
    <w:p>
      <w:pPr>
        <w:pStyle w:val="ListBullet"/>
        <w:spacing w:after="80" w:line="283" w:lineRule="auto"/>
      </w:pPr>
      <w:r>
        <w:rPr>
          <w:rFonts w:ascii="Aptos" w:hAnsi="Aptos"/>
          <w:b w:val="0"/>
          <w:i w:val="0"/>
          <w:color w:val="24313A"/>
          <w:sz w:val="22"/>
        </w:rPr>
        <w:t>☐ Approve the training cadence and acknowledgment through formal Council action.</w:t>
      </w:r>
    </w:p>
    <w:sectPr w:rsidR="00FC693F" w:rsidRPr="0006063C" w:rsidSect="00034616">
      <w:headerReference w:type="default" r:id="rId9"/>
      <w:footerReference w:type="default" r:id="rId10"/>
      <w:pgSz w:w="12240" w:h="15840"/>
      <w:pgMar w:top="1080" w:right="1224" w:bottom="1008" w:left="1224"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ptos" w:hAnsi="Aptos"/>
        <w:b w:val="0"/>
        <w:i w:val="0"/>
        <w:color w:val="596873"/>
        <w:sz w:val="16"/>
      </w:rPr>
      <w:t>Leadership Orientation • 2026–27</w:t>
    </w:r>
    <w: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
      <w:rPr>
        <w:rFonts w:ascii="Aptos" w:hAnsi="Aptos"/>
        <w:b/>
        <w:i w:val="0"/>
        <w:color w:val="596873"/>
        <w:sz w:val="17"/>
      </w:rPr>
      <w:t>SKCDS  |  EXECUTIVE COUNCIL TRAINING RESOURCES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Aptos" w:hAnsi="Aptos"/>
      <w:color w:val="2431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123B5D"/>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w:hAnsi="Aptos"/>
      <w:b/>
      <w:bCs/>
      <w:color w:val="2878A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w:hAnsi="Aptos"/>
      <w:b/>
      <w:bCs/>
      <w:color w:val="123B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Aptos Display" w:hAnsi="Aptos Display"/>
      <w:b/>
      <w:color w:val="123B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ptos" w:hAnsi="Aptos"/>
      <w:b w:val="0"/>
      <w:i/>
      <w:iCs/>
      <w:color w:val="3B9AA0"/>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contextualSpacing/>
    </w:pPr>
    <w:rPr>
      <w:rFonts w:ascii="Aptos" w:hAnsi="Aptos"/>
      <w:sz w:val="21"/>
    </w:rPr>
  </w:style>
  <w:style w:type="paragraph" w:styleId="ListBullet2">
    <w:name w:val="List Bullet 2"/>
    <w:basedOn w:val="Normal"/>
    <w:uiPriority w:val="99"/>
    <w:unhideWhenUsed/>
    <w:rsid w:val="00326F90"/>
    <w:pPr>
      <w:numPr>
        <w:numId w:val="2"/>
      </w:numPr>
      <w:spacing w:after="80"/>
      <w:contextualSpacing/>
    </w:pPr>
    <w:rPr>
      <w:rFonts w:ascii="Aptos" w:hAnsi="Aptos"/>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governor.wa.gov/boards-and-commissions/boards-commissions/resources-appointees/online-appointee-training" TargetMode="External"/><Relationship Id="rId12" Type="http://schemas.openxmlformats.org/officeDocument/2006/relationships/hyperlink" Target="https://governor.wa.gov/boards-and-commissions/boards-commissions/resources-appointees" TargetMode="External"/><Relationship Id="rId13" Type="http://schemas.openxmlformats.org/officeDocument/2006/relationships/hyperlink" Target="https://governor.wa.gov/sites/default/files/2023-01/handbook.pdf" TargetMode="External"/><Relationship Id="rId14" Type="http://schemas.openxmlformats.org/officeDocument/2006/relationships/hyperlink" Target="https://app.leg.wa.gov/RCW/default.aspx?cite=24.03A" TargetMode="External"/><Relationship Id="rId15" Type="http://schemas.openxmlformats.org/officeDocument/2006/relationships/hyperlink" Target="https://app.leg.wa.gov/RCW/default.aspx?cite=24.03A.495" TargetMode="External"/><Relationship Id="rId16" Type="http://schemas.openxmlformats.org/officeDocument/2006/relationships/hyperlink" Target="https://app.leg.wa.gov/RCW/default.aspx?cite=24.03A.550" TargetMode="External"/><Relationship Id="rId17" Type="http://schemas.openxmlformats.org/officeDocument/2006/relationships/hyperlink" Target="https://app.leg.wa.gov/RCW/default.aspx?cite=24.03A.565" TargetMode="External"/><Relationship Id="rId18" Type="http://schemas.openxmlformats.org/officeDocument/2006/relationships/hyperlink" Target="https://app.leg.wa.gov/RCW/default.aspx?cite=24.03A.615" TargetMode="External"/><Relationship Id="rId19" Type="http://schemas.openxmlformats.org/officeDocument/2006/relationships/hyperlink" Target="https://app.leg.wa.gov/RCW/default.aspx?cite=24.03A.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SKCDS Executive Council Training Resources</dc:title>
  <dc:subject>2026–27 Leadership Orientation</dc:subject>
  <dc:creator>Seattle–King County Dental Society</dc:creator>
  <cp:keywords>SKCDS, Executive Council, governance, training, nonprofit</cp:keywords>
  <dc:description>generated by python-docx</dc:description>
  <cp:lastModifiedBy/>
  <cp:revision>1</cp:revision>
  <dcterms:created xsi:type="dcterms:W3CDTF">2013-12-23T23:15:00Z</dcterms:created>
  <dcterms:modified xsi:type="dcterms:W3CDTF">2013-12-23T23:15:00Z</dcterms:modified>
  <cp:category/>
</cp:coreProperties>
</file>